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15" w:rsidRDefault="004B4915" w:rsidP="004B4915">
      <w:pPr>
        <w:pStyle w:val="a3"/>
        <w:spacing w:line="520" w:lineRule="atLeas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上海海事大学大学英语课程教学管理办法</w:t>
      </w:r>
    </w:p>
    <w:p w:rsidR="004B4915" w:rsidRDefault="0018221E" w:rsidP="0018221E">
      <w:pPr>
        <w:pStyle w:val="a3"/>
        <w:spacing w:line="520" w:lineRule="atLeast"/>
        <w:ind w:firstLine="560"/>
        <w:jc w:val="center"/>
      </w:pPr>
      <w:r w:rsidRPr="0018221E">
        <w:rPr>
          <w:rFonts w:hint="eastAsia"/>
        </w:rPr>
        <w:t>沪海大教〔2022〕32号</w:t>
      </w:r>
    </w:p>
    <w:p w:rsidR="0018221E" w:rsidRDefault="0018221E" w:rsidP="0018221E">
      <w:pPr>
        <w:pStyle w:val="a3"/>
        <w:ind w:firstLine="555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为规范大学英语课程教学，结合各专业对英语教学的不同要求，特制定本办法。</w:t>
      </w:r>
    </w:p>
    <w:p w:rsidR="0018221E" w:rsidRDefault="0018221E" w:rsidP="0018221E">
      <w:pPr>
        <w:pStyle w:val="a3"/>
        <w:jc w:val="both"/>
      </w:pPr>
      <w:r>
        <w:rPr>
          <w:rFonts w:hint="eastAsia"/>
        </w:rPr>
        <w:t>    </w:t>
      </w:r>
      <w:r>
        <w:rPr>
          <w:rFonts w:ascii="黑体" w:eastAsia="黑体" w:hAnsi="黑体" w:hint="eastAsia"/>
          <w:color w:val="333333"/>
          <w:sz w:val="32"/>
          <w:szCs w:val="32"/>
        </w:rPr>
        <w:t>一、交通管理+英语、国际会计、法学（卓越人才班）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1.交通管理+英语、国际会计、法学（卓越人才班）由所在学院负责编班；培养方案中英语教学超过16学分的部分，按辅修学分标准收费。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2.交通管理+英语、国际会计、法学（卓越人才班）的学生第一学期可参加全国大学英语四级考试（以下简称CET-4），第四学期需参加英语专业国家四级统考考试。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黑体" w:eastAsia="黑体" w:hAnsi="黑体" w:hint="eastAsia"/>
          <w:color w:val="333333"/>
          <w:sz w:val="32"/>
          <w:szCs w:val="32"/>
        </w:rPr>
        <w:t>二、艺术类专业、高水平运动员班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艺术类专业、高水平运动员班采用固定教学班模式，按照《大学英语（特）》课程系列进行修读，总学时、学分由专业自定，最少为128学时（8学分），最多为256学时（16学分），具体以学生所在年级的《专业培养方案》为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黑体" w:eastAsia="黑体" w:hAnsi="黑体" w:hint="eastAsia"/>
          <w:color w:val="333333"/>
          <w:sz w:val="32"/>
          <w:szCs w:val="32"/>
        </w:rPr>
        <w:t>三、中荷合作专业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中荷合作专业单独按固定教学班开展“8+4”学分模式的大学英语教学。一年级统一修读《大学英语（一）》和《大学英语（二）》共计8学分，128学时。二年级由专业指定修读2门特色大学英语课程，每门2学分，共计64学时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黑体" w:eastAsia="黑体" w:hAnsi="黑体" w:hint="eastAsia"/>
          <w:color w:val="333333"/>
          <w:sz w:val="32"/>
          <w:szCs w:val="32"/>
        </w:rPr>
        <w:t>四、其他专业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除上述专业外，我校其他专业根据航海类和非航海类专业划分，作为两个集团范围开展“8+X”学分模式的大学英语教学。各专业大学英语教学安排最低为8学分，在此基础上“X”的取值可分别为0,4,8，具体学分安排以学生所在年级的《专业培养方案》为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各专业第一、二学期分别修读大学英语（一）、大学英语（二）或大学英语（水上专业）（一）、大学英语（水上专业）（二）课程，每门4学分，共计8学分。第一、二学期结束时，相同范围学生按同一试卷统一进行考试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1．选择“8+0”模式专业：大学英语教学统一安排在一年级完成。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2．选择“8+4”模式专业：二年级学生按全国大学英语六级考试（以下简称CET-6）成绩分类组织英语教学。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（1）第一学年CET-6成绩高于425分（含）的学生：第二学年可进入“特色教学模式”学习,从通用能力、专门用途和人文素养三类特色大学英语课程中任选修读1门，计2学分。同时免修大学英语（三）2学分（免修学分的课程成绩由CET-6成绩折算）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（2）第一学年CET-6成绩低于425分的学生：第二学年进入“常规教学模式”学习，分别于第三、四学期修读大学英语（三）、大学英语（四）课程，每门课2学分。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A．第三学期末，CET-6成绩高于425分（含）的学生：第四学期可进入“特色教学模式”学习，修读1门英语特色课程，计2学分；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B．第三学期末，CET-6成绩低于425分的学生：第四学期维持“常规教学模式”学习，修读《大学英语（四）》课程，计2学分。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（3）第三、四学期初，有资格进入“特色教学模式”的学生可办理放弃“特色教学模式”学习手续，选择“常规教学模式”学习大学英语课程。办理时间根据CET-6成绩公布时间另行通知。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3．选择“8+8”模式专业：二年级学生按CET-6成绩分类组织英语教学。在“8+4”学分模式的基础上，第三、四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学期由专业安排增加指定大学英语特色课程，每学期修读1门，每门2学分，共计4学分。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黑体" w:eastAsia="黑体" w:hAnsi="黑体" w:hint="eastAsia"/>
          <w:color w:val="333333"/>
          <w:sz w:val="32"/>
          <w:szCs w:val="32"/>
        </w:rPr>
        <w:t>五、相关说明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1．新生入学后进行英语测试，全校成绩排名前50%的学生第一学期可参加CET-4考试。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pacing w:val="-6"/>
          <w:sz w:val="32"/>
          <w:szCs w:val="32"/>
        </w:rPr>
        <w:t>未能通过大学英语（一）、大学英语（二）或大学英语（三）课程校内考核的学生不能进入“特色教学模式”学习。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3．大学英语（三）课程免修学分计入总学分，计入学分绩点。免修学分的课程成绩由CET-6成绩折算，具体如下：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CET-6成绩425-499分，校内免修课程记85分。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CET-6成绩500分及以上，校内免修课程记90分。</w:t>
      </w:r>
    </w:p>
    <w:p w:rsidR="0018221E" w:rsidRDefault="0018221E" w:rsidP="0018221E">
      <w:pPr>
        <w:pStyle w:val="a3"/>
        <w:ind w:firstLine="630"/>
        <w:jc w:val="both"/>
      </w:pPr>
      <w:r>
        <w:rPr>
          <w:rFonts w:ascii="仿宋" w:eastAsia="仿宋" w:hAnsi="仿宋" w:hint="eastAsia"/>
          <w:color w:val="333333"/>
          <w:sz w:val="32"/>
          <w:szCs w:val="32"/>
        </w:rPr>
        <w:t>大学英语（三）学分折算时间为第三学期，统一由外国语学院折算、登分，免修学分不允许重复折算刷分。</w:t>
      </w:r>
    </w:p>
    <w:p w:rsidR="00DA0BF2" w:rsidRPr="0018221E" w:rsidRDefault="0018221E" w:rsidP="0018221E">
      <w:pPr>
        <w:pStyle w:val="a3"/>
        <w:ind w:firstLine="630"/>
        <w:jc w:val="both"/>
      </w:pPr>
      <w:r>
        <w:rPr>
          <w:rFonts w:ascii="黑体" w:eastAsia="黑体" w:hAnsi="黑体" w:hint="eastAsia"/>
          <w:color w:val="333333"/>
          <w:sz w:val="32"/>
          <w:szCs w:val="32"/>
        </w:rPr>
        <w:t>六、本办法自发文之日起开始执行。原《上海海事大学大学英语课程教学管理办法》（沪海大教〔2020〕91号）同时废止。本办法由教务处负责解释。</w:t>
      </w:r>
    </w:p>
    <w:sectPr w:rsidR="00DA0BF2" w:rsidRPr="0018221E" w:rsidSect="00DA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F2" w:rsidRDefault="00D10FF2" w:rsidP="0018221E">
      <w:r>
        <w:separator/>
      </w:r>
    </w:p>
  </w:endnote>
  <w:endnote w:type="continuationSeparator" w:id="0">
    <w:p w:rsidR="00D10FF2" w:rsidRDefault="00D10FF2" w:rsidP="0018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F2" w:rsidRDefault="00D10FF2" w:rsidP="0018221E">
      <w:r>
        <w:separator/>
      </w:r>
    </w:p>
  </w:footnote>
  <w:footnote w:type="continuationSeparator" w:id="0">
    <w:p w:rsidR="00D10FF2" w:rsidRDefault="00D10FF2" w:rsidP="00182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915"/>
    <w:rsid w:val="0018221E"/>
    <w:rsid w:val="00427096"/>
    <w:rsid w:val="004B4915"/>
    <w:rsid w:val="007C405E"/>
    <w:rsid w:val="00B4443B"/>
    <w:rsid w:val="00D10FF2"/>
    <w:rsid w:val="00DA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8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22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2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1383</Characters>
  <Application>Microsoft Office Word</Application>
  <DocSecurity>0</DocSecurity>
  <Lines>11</Lines>
  <Paragraphs>3</Paragraphs>
  <ScaleCrop>false</ScaleCrop>
  <Company>上海海事大学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senjor</dc:creator>
  <cp:keywords/>
  <dc:description/>
  <cp:lastModifiedBy>Administrator</cp:lastModifiedBy>
  <cp:revision>4</cp:revision>
  <dcterms:created xsi:type="dcterms:W3CDTF">2021-02-24T07:18:00Z</dcterms:created>
  <dcterms:modified xsi:type="dcterms:W3CDTF">2022-02-16T05:32:00Z</dcterms:modified>
</cp:coreProperties>
</file>