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620"/>
        </w:tabs>
        <w:kinsoku/>
        <w:wordWrap/>
        <w:overflowPunct/>
        <w:topLinePunct w:val="0"/>
        <w:autoSpaceDE/>
        <w:autoSpaceDN/>
        <w:bidi w:val="0"/>
        <w:spacing w:line="520" w:lineRule="exact"/>
        <w:textAlignment w:val="auto"/>
        <w:rPr>
          <w:rFonts w:hint="eastAsia" w:ascii="黑体" w:eastAsia="黑体" w:cs="仿宋_GB2312"/>
          <w:sz w:val="32"/>
          <w:szCs w:val="32"/>
          <w:lang w:bidi="ar"/>
        </w:rPr>
      </w:pPr>
      <w:r>
        <w:rPr>
          <w:rFonts w:hint="eastAsia" w:ascii="黑体" w:eastAsia="黑体" w:cs="仿宋_GB2312"/>
          <w:sz w:val="32"/>
          <w:szCs w:val="32"/>
          <w:lang w:bidi="ar"/>
        </w:rPr>
        <w:t>附件1</w:t>
      </w:r>
    </w:p>
    <w:p>
      <w:pPr>
        <w:keepNext w:val="0"/>
        <w:keepLines w:val="0"/>
        <w:pageBreakBefore w:val="0"/>
        <w:widowControl w:val="0"/>
        <w:tabs>
          <w:tab w:val="left" w:pos="1620"/>
        </w:tabs>
        <w:kinsoku/>
        <w:wordWrap/>
        <w:overflowPunct/>
        <w:topLinePunct w:val="0"/>
        <w:autoSpaceDE/>
        <w:autoSpaceDN/>
        <w:bidi w:val="0"/>
        <w:spacing w:line="520" w:lineRule="exact"/>
        <w:textAlignment w:val="auto"/>
        <w:rPr>
          <w:rFonts w:hint="eastAsia" w:ascii="黑体" w:eastAsia="黑体" w:cs="仿宋_GB2312"/>
          <w:sz w:val="30"/>
          <w:szCs w:val="30"/>
          <w:lang w:bidi="ar"/>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eastAsia" w:ascii="方正小标宋简体" w:eastAsia="方正小标宋简体"/>
          <w:sz w:val="38"/>
          <w:szCs w:val="38"/>
        </w:rPr>
      </w:pPr>
      <w:r>
        <w:rPr>
          <w:rFonts w:hint="eastAsia" w:ascii="方正小标宋简体" w:eastAsia="方正小标宋简体"/>
          <w:sz w:val="38"/>
          <w:szCs w:val="38"/>
        </w:rPr>
        <w:t>“诵读中国”经典诵读大赛上海赛区比赛方案</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黑体" w:hAnsi="宋体" w:eastAsia="黑体" w:cs="黑体"/>
          <w:sz w:val="30"/>
          <w:szCs w:val="30"/>
        </w:rPr>
      </w:pPr>
    </w:p>
    <w:p>
      <w:pPr>
        <w:keepNext w:val="0"/>
        <w:keepLines w:val="0"/>
        <w:pageBreakBefore w:val="0"/>
        <w:widowControl w:val="0"/>
        <w:tabs>
          <w:tab w:val="left" w:pos="4830"/>
        </w:tabs>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根据根据《教育部办公厅关于举办第六届中华经典诵写讲大赛的通知》（教语用厅函〔2024〕2号）</w:t>
      </w:r>
      <w:r>
        <w:rPr>
          <w:rFonts w:hint="eastAsia" w:ascii="仿宋_GB2312" w:hAnsi="仿宋_GB2312" w:eastAsia="仿宋_GB2312" w:cs="仿宋_GB2312"/>
          <w:sz w:val="30"/>
          <w:szCs w:val="30"/>
          <w:lang w:val="en-US" w:eastAsia="zh-CN"/>
        </w:rPr>
        <w:t>精神</w:t>
      </w:r>
      <w:r>
        <w:rPr>
          <w:rFonts w:hint="eastAsia" w:ascii="仿宋_GB2312" w:hAnsi="仿宋_GB2312" w:eastAsia="仿宋_GB2312" w:cs="仿宋_GB2312"/>
          <w:sz w:val="30"/>
          <w:szCs w:val="30"/>
        </w:rPr>
        <w:t xml:space="preserve">，由上海市教师教育学院、上海市语言文字工作者协会承办“诵读中国”经典诵读大赛上海赛区比赛，具体方案如下。 </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黑体" w:hAnsi="宋体" w:eastAsia="黑体" w:cs="黑体"/>
          <w:sz w:val="30"/>
          <w:szCs w:val="30"/>
          <w:lang w:bidi="ar"/>
        </w:rPr>
      </w:pPr>
      <w:r>
        <w:rPr>
          <w:rFonts w:hint="eastAsia" w:ascii="黑体" w:hAnsi="宋体" w:eastAsia="黑体" w:cs="黑体"/>
          <w:sz w:val="30"/>
          <w:szCs w:val="30"/>
          <w:lang w:val="en-US" w:eastAsia="zh-CN" w:bidi="ar"/>
        </w:rPr>
        <w:t>一、</w:t>
      </w:r>
      <w:r>
        <w:rPr>
          <w:rFonts w:hint="eastAsia" w:ascii="黑体" w:hAnsi="宋体" w:eastAsia="黑体" w:cs="黑体"/>
          <w:sz w:val="30"/>
          <w:szCs w:val="30"/>
          <w:lang w:bidi="ar"/>
        </w:rPr>
        <w:t>组织机构</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承办单位：上海市教师教育学院</w:t>
      </w:r>
      <w:r>
        <w:rPr>
          <w:rFonts w:hint="eastAsia" w:ascii="仿宋_GB2312" w:hAnsi="仿宋_GB2312" w:eastAsia="仿宋_GB2312" w:cs="仿宋_GB2312"/>
          <w:sz w:val="30"/>
          <w:szCs w:val="30"/>
          <w:lang w:eastAsia="zh-CN" w:bidi="ar"/>
        </w:rPr>
        <w:t>、</w:t>
      </w:r>
      <w:r>
        <w:rPr>
          <w:rFonts w:hint="eastAsia" w:ascii="仿宋_GB2312" w:hAnsi="仿宋_GB2312" w:eastAsia="仿宋_GB2312" w:cs="仿宋_GB2312"/>
          <w:sz w:val="30"/>
          <w:szCs w:val="30"/>
          <w:lang w:bidi="ar"/>
        </w:rPr>
        <w:t>上海市语言文字工作者协会</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黑体" w:hAnsi="宋体" w:eastAsia="黑体" w:cs="黑体"/>
          <w:sz w:val="30"/>
          <w:szCs w:val="30"/>
          <w:lang w:bidi="ar"/>
        </w:rPr>
      </w:pPr>
      <w:r>
        <w:rPr>
          <w:rFonts w:hint="eastAsia" w:ascii="黑体" w:hAnsi="宋体" w:eastAsia="黑体" w:cs="黑体"/>
          <w:sz w:val="30"/>
          <w:szCs w:val="30"/>
          <w:lang w:val="en-US" w:eastAsia="zh-CN" w:bidi="ar"/>
        </w:rPr>
        <w:t>二、</w:t>
      </w:r>
      <w:r>
        <w:rPr>
          <w:rFonts w:hint="eastAsia" w:ascii="黑体" w:hAnsi="宋体" w:eastAsia="黑体" w:cs="黑体"/>
          <w:sz w:val="30"/>
          <w:szCs w:val="30"/>
          <w:lang w:bidi="ar"/>
        </w:rPr>
        <w:t>参赛对象与组别</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参赛对象为全国大中小学校在校学生、在职教师、社会人员，以及在海外的中国公民（含留学生）、外国公民。</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分为小学生组、中学生组、职业学校学生组（含中职、高职学生）、大学生组（含研究生）、留学生组（在华留学生）、教师组（含幼儿园在职教师）、社会人员组（鼓励家庭成员组队，鼓励街镇和行业系统参赛）、海外组（含在海外学习、工作和生活的中国公民、外国公民），共8个组别。每组可个人参赛，也可2人（含）以上组成团队参赛。团队参赛过程中人员不得替换、增加。除社会人员组、海外人员组外，其他组别不得跨组参赛。社会人员组至少有1名社会人员。海外组自主报名，可通过大赛官网获取报名及上传作品途径。</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黑体" w:hAnsi="宋体" w:eastAsia="黑体" w:cs="黑体"/>
          <w:sz w:val="30"/>
          <w:szCs w:val="30"/>
          <w:lang w:bidi="ar"/>
        </w:rPr>
      </w:pPr>
      <w:r>
        <w:rPr>
          <w:rFonts w:hint="eastAsia" w:ascii="黑体" w:hAnsi="宋体" w:eastAsia="黑体" w:cs="黑体"/>
          <w:sz w:val="30"/>
          <w:szCs w:val="30"/>
          <w:lang w:val="en-US" w:eastAsia="zh-CN" w:bidi="ar"/>
        </w:rPr>
        <w:t>三、</w:t>
      </w:r>
      <w:r>
        <w:rPr>
          <w:rFonts w:hint="eastAsia" w:ascii="黑体" w:hAnsi="宋体" w:eastAsia="黑体" w:cs="黑体"/>
          <w:sz w:val="30"/>
          <w:szCs w:val="30"/>
          <w:lang w:bidi="ar"/>
        </w:rPr>
        <w:t>参赛要求</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楷体_GB2312" w:hAnsi="仿宋" w:eastAsia="楷体_GB2312" w:cs="仿宋"/>
          <w:sz w:val="30"/>
          <w:szCs w:val="30"/>
          <w:lang w:bidi="ar"/>
        </w:rPr>
      </w:pPr>
      <w:r>
        <w:rPr>
          <w:rFonts w:hint="eastAsia" w:ascii="楷体_GB2312" w:hAnsi="仿宋" w:eastAsia="楷体_GB2312" w:cs="仿宋"/>
          <w:sz w:val="30"/>
          <w:szCs w:val="30"/>
          <w:lang w:bidi="ar"/>
        </w:rPr>
        <w:t>（一）内容要求</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我国古代、近现代和当代有社会影响力和典范价值的，体现中华优秀文化的经典诗词、文章和优秀图书内容节选。当代作品应已正式出版或由省级以上广播电视等主流媒体公开发布或发表。诵读文本主体前后可根据需要增加总计不超过200字的过渡语（计入总时长）。改编、网络以及自创文本不在征集之列。</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楷体_GB2312" w:hAnsi="仿宋" w:eastAsia="楷体_GB2312" w:cs="仿宋"/>
          <w:sz w:val="30"/>
          <w:szCs w:val="30"/>
          <w:lang w:bidi="ar"/>
        </w:rPr>
      </w:pPr>
      <w:r>
        <w:rPr>
          <w:rFonts w:hint="eastAsia" w:ascii="楷体_GB2312" w:hAnsi="仿宋" w:eastAsia="楷体_GB2312" w:cs="仿宋"/>
          <w:sz w:val="30"/>
          <w:szCs w:val="30"/>
          <w:lang w:bidi="ar"/>
        </w:rPr>
        <w:t>（二）形式要求</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参赛作品要求为2024年新创作录制的视频，高清1920*1080横屏拍摄，格式为MP4，长度为3—6分钟，大小不超过700MB，图像、声音清晰，不抖动、无噪音。视频作品必须同期录音，不得后期配音。</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视频文字建议使用方正字库字体或其他有版权的字体，视频中不得使用未经肖像权人同意的肖像，不得使用未经授权的图片、视频和音频，不得出现与诵读大赛无关的条幅、角标等。</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楷体_GB2312" w:hAnsi="仿宋" w:eastAsia="楷体_GB2312" w:cs="仿宋"/>
          <w:sz w:val="30"/>
          <w:szCs w:val="30"/>
          <w:lang w:bidi="ar"/>
        </w:rPr>
      </w:pPr>
      <w:r>
        <w:rPr>
          <w:rFonts w:hint="eastAsia" w:ascii="楷体_GB2312" w:hAnsi="仿宋" w:eastAsia="楷体_GB2312" w:cs="仿宋"/>
          <w:sz w:val="30"/>
          <w:szCs w:val="30"/>
          <w:lang w:bidi="ar"/>
        </w:rPr>
        <w:t>（三）其他要求</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作品可借助音乐、服装等手段融合展现诵读内容。鼓励以团队形式诵读，团队人数不超过20人。</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每人最多可参与个人或团队诵读作品1个。每个作品指导教师不超过2人，同一作品的参赛者不得同时署名该作品的指导教师。多个作品获得一等奖的同一指导老师不重复获得优秀指导教师奖。</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正确、规范填写参赛者姓名、作品名称、所在单位或学校等信息。作品上传时间截止后，相关信息不得更改。</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黑体" w:hAnsi="宋体" w:eastAsia="黑体" w:cs="黑体"/>
          <w:sz w:val="30"/>
          <w:szCs w:val="30"/>
          <w:lang w:bidi="ar"/>
        </w:rPr>
      </w:pPr>
      <w:r>
        <w:rPr>
          <w:rFonts w:hint="eastAsia" w:ascii="黑体" w:hAnsi="宋体" w:eastAsia="黑体" w:cs="黑体"/>
          <w:sz w:val="30"/>
          <w:szCs w:val="30"/>
          <w:lang w:bidi="ar"/>
        </w:rPr>
        <w:t>四、赛程安排</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楷体_GB2312" w:hAnsi="仿宋" w:eastAsia="楷体_GB2312" w:cs="仿宋"/>
          <w:sz w:val="30"/>
          <w:szCs w:val="30"/>
          <w:lang w:bidi="ar"/>
        </w:rPr>
      </w:pPr>
      <w:r>
        <w:rPr>
          <w:rFonts w:hint="eastAsia" w:ascii="楷体_GB2312" w:hAnsi="仿宋" w:eastAsia="楷体_GB2312" w:cs="仿宋"/>
          <w:sz w:val="30"/>
          <w:szCs w:val="30"/>
          <w:lang w:bidi="ar"/>
        </w:rPr>
        <w:t>（一）基层遴选（2024年5月—6月）</w:t>
      </w:r>
    </w:p>
    <w:p>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lang w:bidi="ar"/>
        </w:rPr>
        <w:t>1.选拔方式</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小学生组、中学生组：各区语委办组织本区中、小学生选拔活动，推荐小学组、中学组优秀作品各3—5件。</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职业院校学生组（中职学生）：各区语委办组织本区中职学生选拔活动，推荐优秀作品2—3件。</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职业院校学生组（高职学生）：各高职院校组织本校学生选拔活动，推荐优秀作品2—3件。</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大学生组（含研究生）：各大学组织本校大学生选拔活动，推荐优秀作品3—5件。</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留学生组</w:t>
      </w:r>
      <w:r>
        <w:rPr>
          <w:rFonts w:hint="eastAsia" w:ascii="仿宋_GB2312" w:hAnsi="仿宋_GB2312" w:eastAsia="仿宋_GB2312" w:cs="仿宋_GB2312"/>
          <w:sz w:val="30"/>
          <w:szCs w:val="30"/>
          <w:lang w:eastAsia="zh-CN" w:bidi="ar"/>
        </w:rPr>
        <w:t>（</w:t>
      </w:r>
      <w:r>
        <w:rPr>
          <w:rFonts w:hint="eastAsia" w:ascii="仿宋_GB2312" w:hAnsi="仿宋_GB2312" w:eastAsia="仿宋_GB2312" w:cs="仿宋_GB2312"/>
          <w:sz w:val="30"/>
          <w:szCs w:val="30"/>
          <w:lang w:bidi="ar"/>
        </w:rPr>
        <w:t>在华留学生</w:t>
      </w:r>
      <w:r>
        <w:rPr>
          <w:rFonts w:hint="eastAsia" w:ascii="仿宋_GB2312" w:hAnsi="仿宋_GB2312" w:eastAsia="仿宋_GB2312" w:cs="仿宋_GB2312"/>
          <w:sz w:val="30"/>
          <w:szCs w:val="30"/>
          <w:lang w:eastAsia="zh-CN" w:bidi="ar"/>
        </w:rPr>
        <w:t>）</w:t>
      </w:r>
      <w:r>
        <w:rPr>
          <w:rFonts w:hint="eastAsia" w:ascii="仿宋_GB2312" w:hAnsi="仿宋_GB2312" w:eastAsia="仿宋_GB2312" w:cs="仿宋_GB2312"/>
          <w:sz w:val="30"/>
          <w:szCs w:val="30"/>
          <w:lang w:bidi="ar"/>
        </w:rPr>
        <w:t xml:space="preserve">：各高校组织本校留学生选拔活动，推荐优秀作品1—2件。 </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教师组（含幼儿园在职教师）：各高校组织校级选拔活动，推荐2件优秀作品。各区语委办组织本区选拔活动，推荐优秀作品2件。</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社会人员组：各区语委办在本区域组织选拔活动，推荐优秀作品不超过5件（其中应包括街镇和行业系统的作品）。</w:t>
      </w:r>
    </w:p>
    <w:p>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hint="eastAsia" w:ascii="仿宋_GB2312" w:hAnsi="仿宋_GB2312" w:eastAsia="仿宋_GB2312" w:cs="仿宋_GB2312"/>
          <w:b/>
          <w:sz w:val="30"/>
          <w:szCs w:val="30"/>
          <w:lang w:bidi="ar"/>
        </w:rPr>
      </w:pPr>
      <w:r>
        <w:rPr>
          <w:rFonts w:hint="eastAsia" w:ascii="仿宋_GB2312" w:hAnsi="仿宋_GB2312" w:eastAsia="仿宋_GB2312" w:cs="仿宋_GB2312"/>
          <w:b/>
          <w:sz w:val="30"/>
          <w:szCs w:val="30"/>
          <w:lang w:bidi="ar"/>
        </w:rPr>
        <w:t>2.报送方式</w:t>
      </w:r>
    </w:p>
    <w:p>
      <w:pPr>
        <w:keepNext w:val="0"/>
        <w:keepLines w:val="0"/>
        <w:pageBreakBefore w:val="0"/>
        <w:widowControl w:val="0"/>
        <w:numPr>
          <w:ilvl w:val="0"/>
          <w:numId w:val="0"/>
        </w:numPr>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lang w:bidi="ar"/>
        </w:rPr>
      </w:pPr>
      <w:r>
        <w:rPr>
          <w:rFonts w:hint="eastAsia" w:ascii="仿宋_GB2312" w:hAnsi="仿宋_GB2312" w:eastAsia="仿宋_GB2312" w:cs="仿宋_GB2312"/>
          <w:sz w:val="30"/>
          <w:szCs w:val="30"/>
          <w:lang w:bidi="ar"/>
        </w:rPr>
        <w:t>（</w:t>
      </w:r>
      <w:r>
        <w:rPr>
          <w:rFonts w:hint="eastAsia" w:ascii="仿宋_GB2312" w:hAnsi="仿宋_GB2312" w:eastAsia="仿宋_GB2312" w:cs="仿宋_GB2312"/>
          <w:sz w:val="30"/>
          <w:szCs w:val="30"/>
          <w:lang w:val="en-US" w:eastAsia="zh-CN" w:bidi="ar"/>
        </w:rPr>
        <w:t>1</w:t>
      </w:r>
      <w:r>
        <w:rPr>
          <w:rFonts w:hint="eastAsia" w:ascii="仿宋_GB2312" w:hAnsi="仿宋_GB2312" w:eastAsia="仿宋_GB2312" w:cs="仿宋_GB2312"/>
          <w:sz w:val="30"/>
          <w:szCs w:val="30"/>
          <w:lang w:bidi="ar"/>
        </w:rPr>
        <w:t>）2024年6月10日24:00前，各高校</w:t>
      </w:r>
      <w:r>
        <w:rPr>
          <w:rFonts w:hint="eastAsia" w:ascii="仿宋_GB2312" w:hAnsi="仿宋_GB2312" w:eastAsia="仿宋_GB2312" w:cs="仿宋_GB2312"/>
          <w:sz w:val="30"/>
          <w:szCs w:val="30"/>
          <w:lang w:eastAsia="zh-CN" w:bidi="ar"/>
        </w:rPr>
        <w:t>、</w:t>
      </w:r>
      <w:r>
        <w:rPr>
          <w:rFonts w:hint="eastAsia" w:ascii="仿宋_GB2312" w:hAnsi="仿宋_GB2312" w:eastAsia="仿宋_GB2312" w:cs="仿宋_GB2312"/>
          <w:sz w:val="30"/>
          <w:szCs w:val="30"/>
          <w:lang w:bidi="ar"/>
        </w:rPr>
        <w:t>各区语委、教育局</w:t>
      </w:r>
      <w:r>
        <w:rPr>
          <w:rFonts w:hint="eastAsia" w:ascii="仿宋_GB2312" w:hAnsi="仿宋_GB2312" w:eastAsia="仿宋_GB2312" w:cs="仿宋_GB2312"/>
          <w:sz w:val="30"/>
          <w:szCs w:val="30"/>
          <w:lang w:val="en-US" w:eastAsia="zh-CN" w:bidi="ar"/>
        </w:rPr>
        <w:t>通知</w:t>
      </w:r>
      <w:r>
        <w:rPr>
          <w:rFonts w:hint="eastAsia" w:ascii="仿宋_GB2312" w:hAnsi="仿宋_GB2312" w:eastAsia="仿宋_GB2312" w:cs="仿宋_GB2312"/>
          <w:sz w:val="30"/>
          <w:szCs w:val="30"/>
          <w:lang w:bidi="ar"/>
        </w:rPr>
        <w:t>入围上海赛区市级评审的选手登录</w:t>
      </w:r>
      <w:r>
        <w:rPr>
          <w:rFonts w:hint="eastAsia" w:ascii="仿宋_GB2312" w:hAnsi="仿宋_GB2312" w:eastAsia="仿宋_GB2312" w:cs="仿宋_GB2312"/>
          <w:sz w:val="30"/>
          <w:szCs w:val="30"/>
          <w:lang w:val="en-US" w:eastAsia="zh-CN" w:bidi="ar"/>
        </w:rPr>
        <w:t>中华经典诵写讲</w:t>
      </w:r>
      <w:r>
        <w:rPr>
          <w:rFonts w:hint="eastAsia" w:ascii="仿宋_GB2312" w:hAnsi="仿宋_GB2312" w:eastAsia="仿宋_GB2312" w:cs="仿宋_GB2312"/>
          <w:sz w:val="30"/>
          <w:szCs w:val="30"/>
          <w:lang w:bidi="ar"/>
        </w:rPr>
        <w:t>大赛官网（https://jdsxj.eduyun.cn），用个人手机号进行注册，完成语言文字知识及诵读常识测评。测评可多次进行，系统确定最高分为最终成绩，60分以上为测评合格。</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bidi="ar"/>
        </w:rPr>
        <w:t>（</w:t>
      </w:r>
      <w:r>
        <w:rPr>
          <w:rFonts w:hint="eastAsia" w:ascii="仿宋_GB2312" w:hAnsi="仿宋_GB2312" w:eastAsia="仿宋_GB2312" w:cs="仿宋_GB2312"/>
          <w:sz w:val="30"/>
          <w:szCs w:val="30"/>
          <w:lang w:val="en-US" w:eastAsia="zh-CN" w:bidi="ar"/>
        </w:rPr>
        <w:t>2</w:t>
      </w:r>
      <w:r>
        <w:rPr>
          <w:rFonts w:hint="eastAsia" w:ascii="仿宋_GB2312" w:hAnsi="仿宋_GB2312" w:eastAsia="仿宋_GB2312" w:cs="仿宋_GB2312"/>
          <w:sz w:val="30"/>
          <w:szCs w:val="30"/>
          <w:lang w:eastAsia="zh-CN" w:bidi="ar"/>
        </w:rPr>
        <w:t>）</w:t>
      </w:r>
      <w:r>
        <w:rPr>
          <w:rFonts w:hint="eastAsia" w:ascii="仿宋_GB2312" w:hAnsi="仿宋_GB2312" w:eastAsia="仿宋_GB2312" w:cs="仿宋_GB2312"/>
          <w:sz w:val="30"/>
          <w:szCs w:val="30"/>
          <w:lang w:bidi="ar"/>
        </w:rPr>
        <w:t>2024年6月10日前，各高校</w:t>
      </w:r>
      <w:r>
        <w:rPr>
          <w:rFonts w:hint="eastAsia" w:ascii="仿宋_GB2312" w:hAnsi="仿宋_GB2312" w:eastAsia="仿宋_GB2312" w:cs="仿宋_GB2312"/>
          <w:sz w:val="30"/>
          <w:szCs w:val="30"/>
          <w:lang w:eastAsia="zh-CN" w:bidi="ar"/>
        </w:rPr>
        <w:t>、</w:t>
      </w:r>
      <w:r>
        <w:rPr>
          <w:rFonts w:hint="eastAsia" w:ascii="仿宋_GB2312" w:hAnsi="仿宋_GB2312" w:eastAsia="仿宋_GB2312" w:cs="仿宋_GB2312"/>
          <w:sz w:val="30"/>
          <w:szCs w:val="30"/>
          <w:lang w:bidi="ar"/>
        </w:rPr>
        <w:t>各区语委、教育局将作品汇总表及时报送。承办单位不接受个人提交作品。</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《“诵读中国”经典诵读大赛</w:t>
      </w:r>
      <w:r>
        <w:rPr>
          <w:rFonts w:hint="eastAsia" w:ascii="仿宋_GB2312" w:hAnsi="仿宋_GB2312" w:eastAsia="仿宋_GB2312" w:cs="仿宋_GB2312"/>
          <w:sz w:val="30"/>
          <w:szCs w:val="30"/>
          <w:lang w:val="en-US" w:eastAsia="zh-CN" w:bidi="ar"/>
        </w:rPr>
        <w:t>上海赛区</w:t>
      </w:r>
      <w:r>
        <w:rPr>
          <w:rFonts w:hint="eastAsia" w:ascii="仿宋_GB2312" w:hAnsi="仿宋_GB2312" w:eastAsia="仿宋_GB2312" w:cs="仿宋_GB2312"/>
          <w:sz w:val="30"/>
          <w:szCs w:val="30"/>
          <w:lang w:bidi="ar"/>
        </w:rPr>
        <w:t>作品汇总表》（见附表），标题格式为“诵读大赛作品汇总表+区或高校”，填妥后请加盖区教育局或高校公章，制作成电子版（EXCEL表格）及加盖公章扫描版（PDF格式），发送至指定邮箱（shpsc@vip.163.com）。</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（3）2024年6月15日24:00前，入围上海赛区市级评审的选手登录</w:t>
      </w:r>
      <w:r>
        <w:rPr>
          <w:rFonts w:hint="eastAsia" w:ascii="仿宋_GB2312" w:hAnsi="仿宋_GB2312" w:eastAsia="仿宋_GB2312" w:cs="仿宋_GB2312"/>
          <w:sz w:val="30"/>
          <w:szCs w:val="30"/>
          <w:lang w:val="en-US" w:eastAsia="zh-CN" w:bidi="ar"/>
        </w:rPr>
        <w:t>中华经典诵写讲</w:t>
      </w:r>
      <w:r>
        <w:rPr>
          <w:rFonts w:hint="eastAsia" w:ascii="仿宋_GB2312" w:hAnsi="仿宋_GB2312" w:eastAsia="仿宋_GB2312" w:cs="仿宋_GB2312"/>
          <w:sz w:val="30"/>
          <w:szCs w:val="30"/>
          <w:lang w:bidi="ar"/>
        </w:rPr>
        <w:t>大赛官网（https://jdsxj.eduyun.cn），填写作品信息并上传参赛作品。</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楷体_GB2312" w:hAnsi="仿宋" w:eastAsia="楷体_GB2312" w:cs="仿宋"/>
          <w:sz w:val="30"/>
          <w:szCs w:val="30"/>
          <w:lang w:bidi="ar"/>
        </w:rPr>
      </w:pPr>
      <w:r>
        <w:rPr>
          <w:rFonts w:hint="eastAsia" w:ascii="楷体_GB2312" w:hAnsi="仿宋" w:eastAsia="楷体_GB2312" w:cs="仿宋"/>
          <w:sz w:val="30"/>
          <w:szCs w:val="30"/>
          <w:lang w:bidi="ar"/>
        </w:rPr>
        <w:t>（二）市级评选（2024年6月—7月）</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承办单位组织专家进行市级评审，评选出入围全国复赛的选手名单。评审结果于2024年7月5日（星期五）前报送上海赛区执委会。</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黑体" w:hAnsi="宋体" w:eastAsia="黑体" w:cs="黑体"/>
          <w:sz w:val="30"/>
          <w:szCs w:val="30"/>
          <w:lang w:bidi="ar"/>
        </w:rPr>
      </w:pPr>
      <w:r>
        <w:rPr>
          <w:rFonts w:hint="eastAsia" w:ascii="黑体" w:hAnsi="宋体" w:eastAsia="黑体" w:cs="黑体"/>
          <w:sz w:val="30"/>
          <w:szCs w:val="30"/>
          <w:lang w:bidi="ar"/>
        </w:rPr>
        <w:t>五、奖项设置</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“诵读中国”经典诵读大赛上海赛区每个组别各评选出等第奖、优秀奖以及优秀指导奖若干。</w:t>
      </w:r>
    </w:p>
    <w:p>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黑体" w:hAnsi="宋体" w:eastAsia="黑体" w:cs="黑体"/>
          <w:sz w:val="30"/>
          <w:szCs w:val="30"/>
          <w:lang w:bidi="ar"/>
        </w:rPr>
      </w:pPr>
      <w:r>
        <w:rPr>
          <w:rFonts w:hint="eastAsia" w:ascii="黑体" w:hAnsi="宋体" w:eastAsia="黑体" w:cs="黑体"/>
          <w:sz w:val="30"/>
          <w:szCs w:val="30"/>
          <w:lang w:bidi="ar"/>
        </w:rPr>
        <w:t>六、联系方式</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bidi="ar"/>
        </w:rPr>
        <w:t>联系人：李老师</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仿宋_GB2312" w:hAnsi="仿宋_GB2312" w:eastAsia="仿宋_GB2312" w:cs="仿宋_GB2312"/>
          <w:color w:val="000000"/>
          <w:sz w:val="30"/>
          <w:szCs w:val="30"/>
          <w:lang w:val="en-US" w:eastAsia="zh-CN" w:bidi="ar"/>
        </w:rPr>
      </w:pPr>
      <w:r>
        <w:rPr>
          <w:rFonts w:hint="eastAsia" w:ascii="仿宋_GB2312" w:hAnsi="仿宋_GB2312" w:eastAsia="仿宋_GB2312" w:cs="仿宋_GB2312"/>
          <w:color w:val="000000"/>
          <w:sz w:val="30"/>
          <w:szCs w:val="30"/>
          <w:lang w:val="en-US" w:eastAsia="zh-CN" w:bidi="ar"/>
        </w:rPr>
        <w:t>联系电话：021-52135065（工作日9:00—16:00）、13512182474</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color w:val="000000"/>
          <w:sz w:val="30"/>
          <w:szCs w:val="30"/>
          <w:lang w:val="en-US" w:eastAsia="zh-CN" w:bidi="ar"/>
        </w:rPr>
        <w:sectPr>
          <w:footerReference r:id="rId3" w:type="default"/>
          <w:pgSz w:w="11906" w:h="16838"/>
          <w:pgMar w:top="1440" w:right="1800" w:bottom="1440" w:left="1800" w:header="851" w:footer="992" w:gutter="57"/>
          <w:cols w:space="720" w:num="1"/>
          <w:docGrid w:type="lines" w:linePitch="312" w:charSpace="0"/>
        </w:sectPr>
      </w:pPr>
    </w:p>
    <w:p>
      <w:pPr>
        <w:rPr>
          <w:sz w:val="32"/>
          <w:szCs w:val="32"/>
        </w:rPr>
      </w:pPr>
      <w:bookmarkStart w:id="0" w:name="_GoBack"/>
      <w:bookmarkEnd w:id="0"/>
      <w:r>
        <w:rPr>
          <w:rFonts w:hint="eastAsia" w:ascii="黑体" w:hAnsi="宋体" w:eastAsia="黑体" w:cs="仿宋_GB2312"/>
          <w:sz w:val="32"/>
          <w:szCs w:val="32"/>
          <w:lang w:bidi="ar"/>
        </w:rPr>
        <w:t>附表：</w:t>
      </w:r>
    </w:p>
    <w:p>
      <w:pPr>
        <w:adjustRightInd w:val="0"/>
        <w:snapToGrid w:val="0"/>
        <w:spacing w:line="560" w:lineRule="exact"/>
        <w:jc w:val="center"/>
        <w:rPr>
          <w:rFonts w:hint="eastAsia" w:ascii="方正小标宋简体" w:hAnsi="方正小标宋简体" w:eastAsia="方正小标宋简体" w:cs="方正小标宋简体"/>
          <w:sz w:val="38"/>
          <w:szCs w:val="38"/>
        </w:rPr>
      </w:pPr>
      <w:r>
        <w:rPr>
          <w:rFonts w:hint="eastAsia" w:ascii="方正小标宋简体" w:hAnsi="方正小标宋简体" w:eastAsia="方正小标宋简体" w:cs="方正小标宋简体"/>
          <w:sz w:val="38"/>
          <w:szCs w:val="38"/>
          <w:lang w:bidi="ar"/>
        </w:rPr>
        <w:t>“诵读中国”经典诵读大赛上海赛区作品汇总表</w:t>
      </w:r>
    </w:p>
    <w:p>
      <w:pPr>
        <w:adjustRightInd w:val="0"/>
        <w:snapToGrid w:val="0"/>
      </w:pPr>
      <w:r>
        <w:rPr>
          <w:lang w:bidi="ar"/>
        </w:rPr>
        <w:t xml:space="preserve"> </w:t>
      </w:r>
    </w:p>
    <w:p>
      <w:pPr>
        <w:adjustRightInd w:val="0"/>
        <w:snapToGrid w:val="0"/>
      </w:pPr>
      <w:r>
        <w:rPr>
          <w:lang w:bidi="ar"/>
        </w:rPr>
        <w:t xml:space="preserve"> </w:t>
      </w:r>
    </w:p>
    <w:p>
      <w:pPr>
        <w:adjustRightInd w:val="0"/>
        <w:snapToGrid w:val="0"/>
      </w:pPr>
      <w:r>
        <w:rPr>
          <w:rFonts w:hint="eastAsia" w:ascii="宋体" w:hAnsi="宋体" w:cs="宋体"/>
          <w:lang w:bidi="ar"/>
        </w:rPr>
        <w:t>填表日期：</w:t>
      </w:r>
      <w:r>
        <w:rPr>
          <w:sz w:val="24"/>
          <w:u w:val="single"/>
          <w:lang w:bidi="ar"/>
        </w:rPr>
        <w:t xml:space="preserve">    </w:t>
      </w:r>
      <w:r>
        <w:rPr>
          <w:rFonts w:hint="eastAsia" w:ascii="宋体" w:hAnsi="宋体" w:cs="宋体"/>
          <w:lang w:bidi="ar"/>
        </w:rPr>
        <w:t>年</w:t>
      </w:r>
      <w:r>
        <w:rPr>
          <w:sz w:val="24"/>
          <w:u w:val="single"/>
          <w:lang w:bidi="ar"/>
        </w:rPr>
        <w:t xml:space="preserve">    </w:t>
      </w:r>
      <w:r>
        <w:rPr>
          <w:rFonts w:hint="eastAsia" w:ascii="宋体" w:hAnsi="宋体" w:cs="宋体"/>
          <w:lang w:bidi="ar"/>
        </w:rPr>
        <w:t>月</w:t>
      </w:r>
      <w:r>
        <w:rPr>
          <w:sz w:val="24"/>
          <w:u w:val="single"/>
          <w:lang w:bidi="ar"/>
        </w:rPr>
        <w:t xml:space="preserve">    </w:t>
      </w:r>
      <w:r>
        <w:rPr>
          <w:rFonts w:hint="eastAsia" w:ascii="宋体" w:hAnsi="宋体" w:cs="宋体"/>
          <w:lang w:bidi="ar"/>
        </w:rPr>
        <w:t>日</w:t>
      </w:r>
      <w:r>
        <w:rPr>
          <w:lang w:bidi="ar"/>
        </w:rPr>
        <w:t xml:space="preserve">    </w:t>
      </w:r>
      <w:r>
        <w:rPr>
          <w:rFonts w:hint="eastAsia" w:ascii="宋体" w:hAnsi="宋体" w:cs="宋体"/>
          <w:sz w:val="24"/>
          <w:lang w:bidi="ar"/>
        </w:rPr>
        <w:t>基层选拔参赛作品数：</w:t>
      </w:r>
      <w:r>
        <w:rPr>
          <w:sz w:val="24"/>
          <w:u w:val="single"/>
          <w:lang w:bidi="ar"/>
        </w:rPr>
        <w:t xml:space="preserve">     </w:t>
      </w:r>
      <w:r>
        <w:rPr>
          <w:rFonts w:hint="eastAsia" w:ascii="宋体" w:hAnsi="宋体" w:cs="宋体"/>
          <w:sz w:val="24"/>
          <w:u w:val="single"/>
          <w:lang w:bidi="ar"/>
        </w:rPr>
        <w:t>（件）</w:t>
      </w:r>
      <w:r>
        <w:rPr>
          <w:sz w:val="24"/>
          <w:lang w:bidi="ar"/>
        </w:rPr>
        <w:t xml:space="preserve">    </w:t>
      </w:r>
      <w:r>
        <w:rPr>
          <w:rFonts w:hint="eastAsia" w:ascii="宋体" w:hAnsi="宋体" w:cs="宋体"/>
          <w:sz w:val="24"/>
          <w:lang w:bidi="ar"/>
        </w:rPr>
        <w:t>推荐作品数：</w:t>
      </w:r>
      <w:r>
        <w:rPr>
          <w:sz w:val="24"/>
          <w:u w:val="single"/>
          <w:lang w:bidi="ar"/>
        </w:rPr>
        <w:t xml:space="preserve">    </w:t>
      </w:r>
      <w:r>
        <w:rPr>
          <w:rFonts w:hint="eastAsia" w:ascii="宋体" w:hAnsi="宋体" w:cs="宋体"/>
          <w:sz w:val="24"/>
          <w:u w:val="single"/>
          <w:lang w:bidi="ar"/>
        </w:rPr>
        <w:t>（件）</w:t>
      </w:r>
      <w:r>
        <w:rPr>
          <w:sz w:val="24"/>
          <w:lang w:bidi="ar"/>
        </w:rPr>
        <w:t xml:space="preserve">     </w:t>
      </w:r>
      <w:r>
        <w:rPr>
          <w:rFonts w:hint="eastAsia" w:ascii="宋体" w:hAnsi="宋体" w:cs="宋体"/>
          <w:sz w:val="24"/>
          <w:lang w:bidi="ar"/>
        </w:rPr>
        <w:t>推荐比例：</w:t>
      </w:r>
      <w:r>
        <w:rPr>
          <w:sz w:val="24"/>
          <w:u w:val="single"/>
          <w:lang w:bidi="ar"/>
        </w:rPr>
        <w:t xml:space="preserve">      %</w:t>
      </w:r>
    </w:p>
    <w:p>
      <w:pPr>
        <w:adjustRightInd w:val="0"/>
        <w:snapToGrid w:val="0"/>
        <w:spacing w:line="160" w:lineRule="atLeast"/>
      </w:pPr>
      <w:r>
        <w:rPr>
          <w:lang w:bidi="ar"/>
        </w:rPr>
        <w:t xml:space="preserve"> </w:t>
      </w:r>
    </w:p>
    <w:tbl>
      <w:tblPr>
        <w:tblStyle w:val="5"/>
        <w:tblW w:w="0" w:type="auto"/>
        <w:tblInd w:w="-694" w:type="dxa"/>
        <w:tblLayout w:type="fixed"/>
        <w:tblCellMar>
          <w:top w:w="0" w:type="dxa"/>
          <w:left w:w="108" w:type="dxa"/>
          <w:bottom w:w="0" w:type="dxa"/>
          <w:right w:w="108" w:type="dxa"/>
        </w:tblCellMar>
      </w:tblPr>
      <w:tblGrid>
        <w:gridCol w:w="1115"/>
        <w:gridCol w:w="1559"/>
        <w:gridCol w:w="1212"/>
        <w:gridCol w:w="1339"/>
        <w:gridCol w:w="1417"/>
        <w:gridCol w:w="2270"/>
        <w:gridCol w:w="1672"/>
        <w:gridCol w:w="1305"/>
        <w:gridCol w:w="1814"/>
        <w:gridCol w:w="1135"/>
      </w:tblGrid>
      <w:tr>
        <w:tblPrEx>
          <w:tblCellMar>
            <w:top w:w="0" w:type="dxa"/>
            <w:left w:w="108" w:type="dxa"/>
            <w:bottom w:w="0" w:type="dxa"/>
            <w:right w:w="108" w:type="dxa"/>
          </w:tblCellMar>
        </w:tblPrEx>
        <w:trPr>
          <w:trHeight w:val="692"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宋体" w:hAnsi="宋体" w:cs="宋体"/>
                <w:b/>
                <w:szCs w:val="21"/>
                <w:lang w:bidi="ar"/>
              </w:rPr>
              <w:t>报送单位</w:t>
            </w:r>
          </w:p>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宋体" w:hAnsi="宋体" w:cs="宋体"/>
                <w:b/>
                <w:szCs w:val="21"/>
                <w:lang w:bidi="ar"/>
              </w:rPr>
              <w:t>（加盖公章）</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宋体" w:hAnsi="宋体" w:cs="宋体"/>
                <w:b/>
                <w:szCs w:val="21"/>
                <w:lang w:bidi="ar"/>
              </w:rPr>
              <w:t>联系人</w:t>
            </w:r>
          </w:p>
        </w:tc>
        <w:tc>
          <w:tcPr>
            <w:tcW w:w="1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宋体" w:hAnsi="宋体" w:cs="宋体"/>
                <w:b/>
                <w:szCs w:val="21"/>
                <w:lang w:bidi="ar"/>
              </w:rPr>
              <w:t>联系电话</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宋体" w:hAnsi="宋体" w:cs="宋体"/>
                <w:b/>
                <w:szCs w:val="21"/>
                <w:lang w:bidi="ar"/>
              </w:rPr>
              <w:t>电子邮箱</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r>
      <w:tr>
        <w:tblPrEx>
          <w:tblCellMar>
            <w:top w:w="0" w:type="dxa"/>
            <w:left w:w="108" w:type="dxa"/>
            <w:bottom w:w="0" w:type="dxa"/>
            <w:right w:w="108" w:type="dxa"/>
          </w:tblCellMar>
        </w:tblPrEx>
        <w:trPr>
          <w:trHeight w:val="449"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仿宋_GB2312" w:hAnsi="仿宋_GB2312" w:cs="宋体"/>
                <w:b/>
                <w:bCs/>
                <w:kern w:val="0"/>
                <w:szCs w:val="21"/>
                <w:lang w:bidi="ar"/>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76" w:leftChars="-36" w:right="-48" w:rightChars="-23"/>
              <w:jc w:val="center"/>
              <w:rPr>
                <w:rFonts w:hint="default" w:ascii="Times New Roman" w:hAnsi="Times New Roman" w:cs="Times New Roman"/>
                <w:szCs w:val="21"/>
              </w:rPr>
            </w:pPr>
            <w:r>
              <w:rPr>
                <w:rFonts w:hint="eastAsia" w:ascii="仿宋_GB2312" w:hAnsi="仿宋_GB2312" w:cs="宋体"/>
                <w:b/>
                <w:bCs/>
                <w:kern w:val="0"/>
                <w:szCs w:val="21"/>
                <w:lang w:bidi="ar"/>
              </w:rPr>
              <w:t>组别</w:t>
            </w: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仿宋_GB2312" w:hAnsi="仿宋_GB2312" w:cs="宋体"/>
                <w:b/>
                <w:bCs/>
                <w:kern w:val="0"/>
                <w:szCs w:val="21"/>
                <w:lang w:bidi="ar"/>
              </w:rPr>
              <w:t>作品名称</w:t>
            </w:r>
          </w:p>
        </w:tc>
        <w:tc>
          <w:tcPr>
            <w:tcW w:w="141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仿宋_GB2312" w:hAnsi="仿宋_GB2312" w:cs="宋体"/>
                <w:b/>
                <w:bCs/>
                <w:kern w:val="0"/>
                <w:szCs w:val="21"/>
                <w:lang w:bidi="ar"/>
              </w:rPr>
              <w:t>参赛者姓名</w:t>
            </w:r>
            <w:r>
              <w:rPr>
                <w:rFonts w:hint="eastAsia" w:ascii="仿宋_GB2312" w:hAnsi="Times New Roman" w:cs="宋体"/>
                <w:b/>
                <w:bCs/>
                <w:kern w:val="0"/>
                <w:szCs w:val="21"/>
                <w:lang w:bidi="ar"/>
              </w:rPr>
              <w:t>/参赛单位名及人员姓名</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仿宋_GB2312" w:hAnsi="仿宋_GB2312" w:cs="宋体"/>
                <w:b/>
                <w:bCs/>
                <w:kern w:val="0"/>
                <w:szCs w:val="21"/>
                <w:lang w:bidi="ar"/>
              </w:rPr>
              <w:t>参赛者单位</w:t>
            </w: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仿宋_GB2312" w:hAnsi="仿宋_GB2312" w:cs="宋体"/>
                <w:b/>
                <w:bCs/>
                <w:kern w:val="0"/>
                <w:szCs w:val="21"/>
                <w:lang w:bidi="ar"/>
              </w:rPr>
              <w:t>参赛者手机号</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仿宋_GB2312" w:hAnsi="仿宋_GB2312" w:cs="宋体"/>
                <w:b/>
                <w:bCs/>
                <w:kern w:val="0"/>
                <w:szCs w:val="21"/>
                <w:lang w:bidi="ar"/>
              </w:rPr>
              <w:t>指导教师</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default" w:ascii="Times New Roman" w:hAnsi="Times New Roman" w:cs="Times New Roman"/>
                <w:szCs w:val="21"/>
              </w:rPr>
            </w:pPr>
            <w:r>
              <w:rPr>
                <w:rFonts w:hint="eastAsia" w:ascii="仿宋_GB2312" w:hAnsi="仿宋_GB2312" w:cs="宋体"/>
                <w:b/>
                <w:bCs/>
                <w:kern w:val="0"/>
                <w:szCs w:val="21"/>
                <w:lang w:bidi="ar"/>
              </w:rPr>
              <w:t>指导教师</w:t>
            </w:r>
          </w:p>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仿宋_GB2312" w:hAnsi="仿宋_GB2312" w:cs="宋体"/>
                <w:b/>
                <w:bCs/>
                <w:kern w:val="0"/>
                <w:szCs w:val="21"/>
                <w:lang w:bidi="ar"/>
              </w:rPr>
              <w:t>单位</w:t>
            </w:r>
          </w:p>
        </w:tc>
        <w:tc>
          <w:tcPr>
            <w:tcW w:w="1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r>
              <w:rPr>
                <w:rFonts w:hint="eastAsia" w:ascii="宋体" w:hAnsi="宋体" w:cs="宋体"/>
                <w:b/>
                <w:szCs w:val="21"/>
                <w:lang w:bidi="ar"/>
              </w:rPr>
              <w:t>备</w:t>
            </w:r>
            <w:r>
              <w:rPr>
                <w:rFonts w:hint="default" w:ascii="Times New Roman" w:hAnsi="Times New Roman" w:cs="Times New Roman"/>
                <w:b/>
                <w:szCs w:val="21"/>
                <w:lang w:bidi="ar"/>
              </w:rPr>
              <w:t xml:space="preserve">  </w:t>
            </w:r>
            <w:r>
              <w:rPr>
                <w:rFonts w:hint="eastAsia" w:ascii="Times New Roman" w:hAnsi="Times New Roman" w:cs="宋体"/>
                <w:b/>
                <w:szCs w:val="21"/>
                <w:lang w:bidi="ar"/>
              </w:rPr>
              <w:t>注</w:t>
            </w:r>
          </w:p>
        </w:tc>
      </w:tr>
      <w:tr>
        <w:tblPrEx>
          <w:tblCellMar>
            <w:top w:w="0" w:type="dxa"/>
            <w:left w:w="108" w:type="dxa"/>
            <w:bottom w:w="0" w:type="dxa"/>
            <w:right w:w="108" w:type="dxa"/>
          </w:tblCellMar>
        </w:tblPrEx>
        <w:trPr>
          <w:trHeight w:val="449"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r>
      <w:tr>
        <w:tblPrEx>
          <w:tblCellMar>
            <w:top w:w="0" w:type="dxa"/>
            <w:left w:w="108" w:type="dxa"/>
            <w:bottom w:w="0" w:type="dxa"/>
            <w:right w:w="108" w:type="dxa"/>
          </w:tblCellMar>
        </w:tblPrEx>
        <w:trPr>
          <w:trHeight w:val="410"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r>
      <w:tr>
        <w:tblPrEx>
          <w:tblCellMar>
            <w:top w:w="0" w:type="dxa"/>
            <w:left w:w="108" w:type="dxa"/>
            <w:bottom w:w="0" w:type="dxa"/>
            <w:right w:w="108" w:type="dxa"/>
          </w:tblCellMar>
        </w:tblPrEx>
        <w:trPr>
          <w:trHeight w:val="447"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r>
      <w:tr>
        <w:tblPrEx>
          <w:tblCellMar>
            <w:top w:w="0" w:type="dxa"/>
            <w:left w:w="108" w:type="dxa"/>
            <w:bottom w:w="0" w:type="dxa"/>
            <w:right w:w="108" w:type="dxa"/>
          </w:tblCellMar>
        </w:tblPrEx>
        <w:trPr>
          <w:trHeight w:val="447"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r>
      <w:tr>
        <w:tblPrEx>
          <w:tblCellMar>
            <w:top w:w="0" w:type="dxa"/>
            <w:left w:w="108" w:type="dxa"/>
            <w:bottom w:w="0" w:type="dxa"/>
            <w:right w:w="108" w:type="dxa"/>
          </w:tblCellMar>
        </w:tblPrEx>
        <w:trPr>
          <w:trHeight w:val="447"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r>
      <w:tr>
        <w:tblPrEx>
          <w:tblCellMar>
            <w:top w:w="0" w:type="dxa"/>
            <w:left w:w="108" w:type="dxa"/>
            <w:bottom w:w="0" w:type="dxa"/>
            <w:right w:w="108" w:type="dxa"/>
          </w:tblCellMar>
        </w:tblPrEx>
        <w:trPr>
          <w:trHeight w:val="447" w:hRule="atLeast"/>
        </w:trPr>
        <w:tc>
          <w:tcPr>
            <w:tcW w:w="11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55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41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22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6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81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c>
          <w:tcPr>
            <w:tcW w:w="11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240" w:lineRule="atLeast"/>
              <w:ind w:left="0" w:right="0"/>
              <w:jc w:val="center"/>
              <w:rPr>
                <w:rFonts w:hint="default" w:ascii="Times New Roman" w:hAnsi="Times New Roman" w:cs="Times New Roman"/>
                <w:szCs w:val="21"/>
              </w:rPr>
            </w:pPr>
          </w:p>
        </w:tc>
      </w:tr>
    </w:tbl>
    <w:p>
      <w:pPr>
        <w:adjustRightInd w:val="0"/>
        <w:snapToGrid w:val="0"/>
        <w:spacing w:line="400" w:lineRule="atLeast"/>
        <w:ind w:firstLine="562" w:firstLineChars="200"/>
      </w:pPr>
      <w:r>
        <w:rPr>
          <w:rFonts w:eastAsia="仿宋_GB2312"/>
          <w:b/>
          <w:sz w:val="28"/>
          <w:szCs w:val="28"/>
          <w:lang w:bidi="ar"/>
        </w:rPr>
        <w:t xml:space="preserve"> </w:t>
      </w:r>
    </w:p>
    <w:p>
      <w:pPr>
        <w:adjustRightInd w:val="0"/>
        <w:snapToGrid w:val="0"/>
        <w:spacing w:line="400" w:lineRule="atLeast"/>
        <w:ind w:firstLine="482" w:firstLineChars="200"/>
        <w:rPr>
          <w:sz w:val="24"/>
        </w:rPr>
      </w:pPr>
      <w:r>
        <w:rPr>
          <w:rFonts w:hint="eastAsia" w:ascii="仿宋_GB2312" w:hAnsi="仿宋_GB2312" w:cs="宋体"/>
          <w:b/>
          <w:sz w:val="24"/>
          <w:lang w:bidi="ar"/>
        </w:rPr>
        <w:t>填表说明：</w:t>
      </w:r>
    </w:p>
    <w:p>
      <w:pPr>
        <w:adjustRightInd w:val="0"/>
        <w:snapToGrid w:val="0"/>
        <w:spacing w:line="460" w:lineRule="atLeast"/>
        <w:ind w:firstLine="480" w:firstLineChars="200"/>
        <w:rPr>
          <w:sz w:val="24"/>
        </w:rPr>
      </w:pPr>
      <w:r>
        <w:rPr>
          <w:rFonts w:hint="eastAsia" w:ascii="宋体" w:hAnsi="宋体" w:cs="宋体"/>
          <w:sz w:val="24"/>
          <w:lang w:bidi="ar"/>
        </w:rPr>
        <w:t>1.报送单位：指参赛的各高校、各区教育局，盖单位公章。</w:t>
      </w:r>
    </w:p>
    <w:p>
      <w:pPr>
        <w:adjustRightInd w:val="0"/>
        <w:snapToGrid w:val="0"/>
        <w:spacing w:line="460" w:lineRule="atLeast"/>
        <w:ind w:firstLine="480" w:firstLineChars="200"/>
        <w:rPr>
          <w:sz w:val="24"/>
        </w:rPr>
      </w:pPr>
      <w:r>
        <w:rPr>
          <w:rFonts w:hint="eastAsia" w:ascii="宋体" w:hAnsi="宋体" w:cs="宋体"/>
          <w:sz w:val="24"/>
          <w:lang w:bidi="ar"/>
        </w:rPr>
        <w:t>2.序号：请各高校、各区按参赛作品推荐顺序排列。</w:t>
      </w:r>
    </w:p>
    <w:p>
      <w:pPr>
        <w:adjustRightInd w:val="0"/>
        <w:snapToGrid w:val="0"/>
        <w:spacing w:line="460" w:lineRule="atLeast"/>
        <w:ind w:firstLine="480" w:firstLineChars="200"/>
        <w:rPr>
          <w:sz w:val="24"/>
        </w:rPr>
      </w:pPr>
      <w:r>
        <w:rPr>
          <w:rFonts w:hint="eastAsia" w:ascii="宋体" w:hAnsi="宋体" w:cs="宋体"/>
          <w:sz w:val="24"/>
          <w:lang w:bidi="ar"/>
        </w:rPr>
        <w:t>3.作品名称：准确填写作品名称。</w:t>
      </w:r>
    </w:p>
    <w:p>
      <w:pPr>
        <w:adjustRightInd w:val="0"/>
        <w:snapToGrid w:val="0"/>
        <w:spacing w:line="460" w:lineRule="atLeast"/>
        <w:ind w:firstLine="480" w:firstLineChars="200"/>
        <w:rPr>
          <w:sz w:val="24"/>
        </w:rPr>
      </w:pPr>
      <w:r>
        <w:rPr>
          <w:rFonts w:hint="eastAsia" w:ascii="宋体" w:hAnsi="宋体" w:cs="宋体"/>
          <w:sz w:val="24"/>
          <w:lang w:bidi="ar"/>
        </w:rPr>
        <w:t>4.参赛者姓名/参赛单位名及人员姓名：以个人名义参赛的填写个人姓名；以集体名义参赛的，填写单位名称，以公章为准，人员姓名列在单位名称后，例：第一中学</w:t>
      </w:r>
      <w:r>
        <w:rPr>
          <w:rFonts w:hint="eastAsia" w:ascii="仿宋_GB2312" w:hAnsi="仿宋_GB2312" w:cs="宋体"/>
          <w:sz w:val="24"/>
          <w:lang w:bidi="ar"/>
        </w:rPr>
        <w:t>（</w:t>
      </w:r>
      <w:r>
        <w:rPr>
          <w:rFonts w:hint="eastAsia" w:ascii="宋体" w:hAnsi="宋体" w:cs="宋体"/>
          <w:sz w:val="24"/>
          <w:lang w:bidi="ar"/>
        </w:rPr>
        <w:t>赵某、钱某、孙某、李某……</w:t>
      </w:r>
      <w:r>
        <w:rPr>
          <w:rFonts w:hint="eastAsia" w:ascii="仿宋_GB2312" w:hAnsi="仿宋_GB2312" w:cs="宋体"/>
          <w:sz w:val="24"/>
          <w:lang w:bidi="ar"/>
        </w:rPr>
        <w:t>）。</w:t>
      </w:r>
      <w:r>
        <w:rPr>
          <w:rFonts w:hint="eastAsia" w:ascii="宋体" w:hAnsi="宋体" w:cs="宋体"/>
          <w:sz w:val="24"/>
          <w:lang w:bidi="ar"/>
        </w:rPr>
        <w:t>留学生及外籍教师填写姓名时，以“母语名字（中文名字）”的形式填写，例：Michel(迈克)。姓名填报后无法更改。</w:t>
      </w:r>
    </w:p>
    <w:p>
      <w:pPr>
        <w:adjustRightInd w:val="0"/>
        <w:snapToGrid w:val="0"/>
        <w:spacing w:line="460" w:lineRule="atLeast"/>
        <w:ind w:firstLine="480" w:firstLineChars="200"/>
        <w:rPr>
          <w:sz w:val="24"/>
        </w:rPr>
      </w:pPr>
      <w:r>
        <w:rPr>
          <w:rFonts w:hint="eastAsia" w:ascii="宋体" w:hAnsi="宋体" w:cs="宋体"/>
          <w:sz w:val="24"/>
          <w:lang w:bidi="ar"/>
        </w:rPr>
        <w:t>5.参赛者单位：以公章为准填写单位/学校名称。请勿填写公章以外的团体名称。</w:t>
      </w:r>
    </w:p>
    <w:p>
      <w:pPr>
        <w:adjustRightInd w:val="0"/>
        <w:snapToGrid w:val="0"/>
        <w:spacing w:line="460" w:lineRule="atLeast"/>
        <w:ind w:firstLine="480" w:firstLineChars="200"/>
        <w:rPr>
          <w:sz w:val="24"/>
        </w:rPr>
      </w:pPr>
      <w:r>
        <w:rPr>
          <w:rFonts w:hint="eastAsia" w:ascii="宋体" w:hAnsi="宋体" w:cs="宋体"/>
          <w:sz w:val="24"/>
          <w:lang w:bidi="ar"/>
        </w:rPr>
        <w:t>6.参赛者手机号：用于大赛官网注册、作品上传、下载个人获奖证书，一件作品对应一个手机号码。</w:t>
      </w:r>
    </w:p>
    <w:p>
      <w:pPr>
        <w:adjustRightInd w:val="0"/>
        <w:snapToGrid w:val="0"/>
        <w:spacing w:line="460" w:lineRule="atLeast"/>
        <w:ind w:firstLine="480" w:firstLineChars="200"/>
        <w:rPr>
          <w:sz w:val="24"/>
        </w:rPr>
      </w:pPr>
      <w:r>
        <w:rPr>
          <w:rFonts w:hint="eastAsia" w:ascii="宋体" w:hAnsi="宋体" w:cs="宋体"/>
          <w:sz w:val="24"/>
          <w:lang w:bidi="ar"/>
        </w:rPr>
        <w:t>7.指导教师：每个作品不超过</w:t>
      </w:r>
      <w:r>
        <w:rPr>
          <w:sz w:val="24"/>
          <w:lang w:bidi="ar"/>
        </w:rPr>
        <w:t>2</w:t>
      </w:r>
      <w:r>
        <w:rPr>
          <w:rFonts w:hint="eastAsia" w:ascii="宋体" w:hAnsi="宋体" w:cs="宋体"/>
          <w:sz w:val="24"/>
          <w:lang w:bidi="ar"/>
        </w:rPr>
        <w:t>人，同一作品的参赛者不得同时署名该作品的指导教师。请准确填写指导教师所在单位。</w:t>
      </w:r>
    </w:p>
    <w:p>
      <w:pPr>
        <w:spacing w:line="460" w:lineRule="atLeast"/>
        <w:ind w:firstLine="480" w:firstLineChars="200"/>
        <w:rPr>
          <w:rFonts w:ascii="仿宋_GB2312" w:eastAsia="仿宋_GB2312"/>
          <w:sz w:val="30"/>
          <w:szCs w:val="30"/>
        </w:rPr>
      </w:pPr>
      <w:r>
        <w:rPr>
          <w:rFonts w:hint="eastAsia" w:ascii="宋体" w:hAnsi="宋体" w:cs="宋体"/>
          <w:sz w:val="24"/>
          <w:lang w:bidi="ar"/>
        </w:rPr>
        <w:t>8.</w:t>
      </w:r>
      <w:r>
        <w:rPr>
          <w:rFonts w:hint="eastAsia" w:cs="宋体"/>
          <w:sz w:val="24"/>
          <w:lang w:bidi="ar"/>
        </w:rPr>
        <w:t>其他事项：</w:t>
      </w:r>
      <w:r>
        <w:rPr>
          <w:rFonts w:hint="eastAsia" w:ascii="宋体" w:hAnsi="宋体" w:cs="宋体"/>
          <w:sz w:val="24"/>
          <w:lang w:bidi="ar"/>
        </w:rPr>
        <w:t>作品汇总表填好后，加盖公章，扫描生成PDF文件，命名为</w:t>
      </w:r>
      <w:r>
        <w:rPr>
          <w:sz w:val="24"/>
          <w:lang w:bidi="ar"/>
        </w:rPr>
        <w:t>“</w:t>
      </w:r>
      <w:r>
        <w:rPr>
          <w:rFonts w:hint="eastAsia" w:ascii="宋体" w:hAnsi="宋体" w:cs="宋体"/>
          <w:sz w:val="24"/>
          <w:lang w:bidi="ar"/>
        </w:rPr>
        <w:t>诵读大赛作品汇总表</w:t>
      </w:r>
      <w:r>
        <w:rPr>
          <w:sz w:val="24"/>
          <w:lang w:bidi="ar"/>
        </w:rPr>
        <w:t>+</w:t>
      </w:r>
      <w:r>
        <w:rPr>
          <w:rFonts w:hint="eastAsia" w:ascii="宋体" w:hAnsi="宋体" w:cs="宋体"/>
          <w:sz w:val="24"/>
          <w:lang w:bidi="ar"/>
        </w:rPr>
        <w:t>区、高校</w:t>
      </w:r>
      <w:r>
        <w:rPr>
          <w:sz w:val="24"/>
          <w:lang w:bidi="ar"/>
        </w:rPr>
        <w:t>”</w:t>
      </w:r>
      <w:r>
        <w:rPr>
          <w:rFonts w:hint="eastAsia" w:ascii="宋体" w:hAnsi="宋体" w:cs="宋体"/>
          <w:sz w:val="24"/>
          <w:lang w:bidi="ar"/>
        </w:rPr>
        <w:t>，将EXCEL版与PDF版一同上传至上海赛区</w:t>
      </w:r>
      <w:r>
        <w:rPr>
          <w:rFonts w:hint="eastAsia" w:ascii="宋体" w:hAnsi="宋体" w:cs="宋体"/>
          <w:sz w:val="24"/>
          <w:lang w:val="en-US" w:eastAsia="zh-CN" w:bidi="ar"/>
        </w:rPr>
        <w:t>指定邮箱</w:t>
      </w:r>
      <w:r>
        <w:rPr>
          <w:rFonts w:hint="eastAsia" w:ascii="宋体" w:hAnsi="宋体" w:cs="宋体"/>
          <w:sz w:val="24"/>
          <w:lang w:bidi="ar"/>
        </w:rPr>
        <w:t>。</w:t>
      </w:r>
    </w:p>
    <w:sectPr>
      <w:footerReference r:id="rId4" w:type="default"/>
      <w:pgSz w:w="16838" w:h="11906" w:orient="landscape"/>
      <w:pgMar w:top="1520" w:right="2098" w:bottom="1508" w:left="1714" w:header="851" w:footer="1418" w:gutter="5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258DE9-10F4-4B2B-A671-CF518278E23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4525DB41-BE87-4E0A-AEBA-4651C7A1CF2E}"/>
  </w:font>
  <w:font w:name="方正小标宋简体">
    <w:panose1 w:val="02000000000000000000"/>
    <w:charset w:val="86"/>
    <w:family w:val="script"/>
    <w:pitch w:val="default"/>
    <w:sig w:usb0="00000001" w:usb1="08000000" w:usb2="00000000" w:usb3="00000000" w:csb0="00040000" w:csb1="00000000"/>
    <w:embedRegular r:id="rId3" w:fontKey="{AC35FF76-EFFF-49E4-BA4E-33C4FE5D1253}"/>
  </w:font>
  <w:font w:name="楷体_GB2312">
    <w:panose1 w:val="02010609030101010101"/>
    <w:charset w:val="86"/>
    <w:family w:val="modern"/>
    <w:pitch w:val="default"/>
    <w:sig w:usb0="00000001" w:usb1="080E0000" w:usb2="00000000" w:usb3="00000000" w:csb0="00040000" w:csb1="00000000"/>
    <w:embedRegular r:id="rId4" w:fontKey="{74593D4A-DD82-4F4C-AD58-A88E307D2C75}"/>
  </w:font>
  <w:font w:name="仿宋">
    <w:panose1 w:val="02010609060101010101"/>
    <w:charset w:val="86"/>
    <w:family w:val="modern"/>
    <w:pitch w:val="default"/>
    <w:sig w:usb0="800002BF" w:usb1="38CF7CFA" w:usb2="00000016" w:usb3="00000000" w:csb0="00040001" w:csb1="00000000"/>
    <w:embedRegular r:id="rId5" w:fontKey="{9B76A737-89A3-4110-A77D-C7B3247B02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rPr>
    </w:pPr>
    <w:r>
      <w:rPr>
        <w:rStyle w:val="7"/>
        <w:rFonts w:hint="eastAsia" w:ascii="宋体" w:hAnsi="宋体"/>
        <w:sz w:val="28"/>
      </w:rPr>
      <w:t xml:space="preserve">—  </w:t>
    </w:r>
    <w:r>
      <w:rPr>
        <w:rStyle w:val="7"/>
        <w:rFonts w:ascii="宋体" w:hAnsi="宋体"/>
        <w:sz w:val="28"/>
      </w:rPr>
      <w:fldChar w:fldCharType="begin"/>
    </w:r>
    <w:r>
      <w:rPr>
        <w:rStyle w:val="7"/>
        <w:rFonts w:ascii="宋体" w:hAnsi="宋体"/>
        <w:sz w:val="28"/>
      </w:rPr>
      <w:instrText xml:space="preserve">PAGE  </w:instrText>
    </w:r>
    <w:r>
      <w:rPr>
        <w:rStyle w:val="7"/>
        <w:rFonts w:ascii="宋体" w:hAnsi="宋体"/>
        <w:sz w:val="28"/>
      </w:rPr>
      <w:fldChar w:fldCharType="separate"/>
    </w:r>
    <w:r>
      <w:rPr>
        <w:rStyle w:val="7"/>
        <w:rFonts w:ascii="宋体" w:hAnsi="宋体"/>
        <w:sz w:val="28"/>
      </w:rPr>
      <w:t>6</w:t>
    </w:r>
    <w:r>
      <w:rPr>
        <w:rStyle w:val="7"/>
        <w:rFonts w:ascii="宋体" w:hAnsi="宋体"/>
        <w:sz w:val="28"/>
      </w:rPr>
      <w:fldChar w:fldCharType="end"/>
    </w:r>
    <w:r>
      <w:rPr>
        <w:rStyle w:val="7"/>
        <w:rFonts w:hint="eastAsia" w:ascii="宋体" w:hAnsi="宋体"/>
        <w:sz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lOTViNzRmZjUwMjg3MzhhNjEyMjRjMDdhYjE3MDgifQ=="/>
  </w:docVars>
  <w:rsids>
    <w:rsidRoot w:val="00E36A0F"/>
    <w:rsid w:val="00024907"/>
    <w:rsid w:val="00034468"/>
    <w:rsid w:val="00035F05"/>
    <w:rsid w:val="00040B14"/>
    <w:rsid w:val="00046DD0"/>
    <w:rsid w:val="00056EC1"/>
    <w:rsid w:val="00094FC4"/>
    <w:rsid w:val="000A0E8F"/>
    <w:rsid w:val="000C226B"/>
    <w:rsid w:val="000F348C"/>
    <w:rsid w:val="00112C10"/>
    <w:rsid w:val="00183763"/>
    <w:rsid w:val="001A1D49"/>
    <w:rsid w:val="001B3025"/>
    <w:rsid w:val="001C0F96"/>
    <w:rsid w:val="001E0243"/>
    <w:rsid w:val="001F5455"/>
    <w:rsid w:val="002133B0"/>
    <w:rsid w:val="0023030E"/>
    <w:rsid w:val="00252A00"/>
    <w:rsid w:val="00275FB1"/>
    <w:rsid w:val="00286A3E"/>
    <w:rsid w:val="00294260"/>
    <w:rsid w:val="002A230A"/>
    <w:rsid w:val="002A3CE4"/>
    <w:rsid w:val="002C7F1A"/>
    <w:rsid w:val="002D3402"/>
    <w:rsid w:val="002D4EF5"/>
    <w:rsid w:val="002D71E3"/>
    <w:rsid w:val="00303E9B"/>
    <w:rsid w:val="00312076"/>
    <w:rsid w:val="003154F5"/>
    <w:rsid w:val="003829EC"/>
    <w:rsid w:val="003D3AB4"/>
    <w:rsid w:val="003D6DDA"/>
    <w:rsid w:val="003E4FAD"/>
    <w:rsid w:val="00414340"/>
    <w:rsid w:val="00444F67"/>
    <w:rsid w:val="004477E0"/>
    <w:rsid w:val="004806AD"/>
    <w:rsid w:val="00492148"/>
    <w:rsid w:val="004978BF"/>
    <w:rsid w:val="004A30DD"/>
    <w:rsid w:val="004A72A4"/>
    <w:rsid w:val="004A7871"/>
    <w:rsid w:val="004A7C58"/>
    <w:rsid w:val="004B14C9"/>
    <w:rsid w:val="004B5F2E"/>
    <w:rsid w:val="004C141B"/>
    <w:rsid w:val="004C6B6C"/>
    <w:rsid w:val="005155AB"/>
    <w:rsid w:val="00534A5D"/>
    <w:rsid w:val="005927B4"/>
    <w:rsid w:val="005C17EE"/>
    <w:rsid w:val="005D6055"/>
    <w:rsid w:val="005E0EB6"/>
    <w:rsid w:val="005F4E0C"/>
    <w:rsid w:val="006078B9"/>
    <w:rsid w:val="00611F21"/>
    <w:rsid w:val="00623312"/>
    <w:rsid w:val="00654E7A"/>
    <w:rsid w:val="006634B4"/>
    <w:rsid w:val="00667B97"/>
    <w:rsid w:val="00680FA6"/>
    <w:rsid w:val="006852C3"/>
    <w:rsid w:val="006B4CA1"/>
    <w:rsid w:val="006E32CC"/>
    <w:rsid w:val="00701799"/>
    <w:rsid w:val="00702C25"/>
    <w:rsid w:val="0070452F"/>
    <w:rsid w:val="00704548"/>
    <w:rsid w:val="00713E99"/>
    <w:rsid w:val="0074038F"/>
    <w:rsid w:val="007424FD"/>
    <w:rsid w:val="00745286"/>
    <w:rsid w:val="00754887"/>
    <w:rsid w:val="00760FBF"/>
    <w:rsid w:val="0078034F"/>
    <w:rsid w:val="007B5579"/>
    <w:rsid w:val="007D2CE1"/>
    <w:rsid w:val="007D5333"/>
    <w:rsid w:val="007D7BA0"/>
    <w:rsid w:val="0080616E"/>
    <w:rsid w:val="00896677"/>
    <w:rsid w:val="008A74FF"/>
    <w:rsid w:val="008D3D0D"/>
    <w:rsid w:val="008E3D77"/>
    <w:rsid w:val="008F76D4"/>
    <w:rsid w:val="0090062F"/>
    <w:rsid w:val="00906540"/>
    <w:rsid w:val="009356BA"/>
    <w:rsid w:val="00955071"/>
    <w:rsid w:val="00964B3C"/>
    <w:rsid w:val="009717CD"/>
    <w:rsid w:val="009855E9"/>
    <w:rsid w:val="009A5209"/>
    <w:rsid w:val="009C38CF"/>
    <w:rsid w:val="009D5141"/>
    <w:rsid w:val="00A25ED1"/>
    <w:rsid w:val="00A31E83"/>
    <w:rsid w:val="00A458A8"/>
    <w:rsid w:val="00A47378"/>
    <w:rsid w:val="00A82097"/>
    <w:rsid w:val="00A97E74"/>
    <w:rsid w:val="00AA2AD8"/>
    <w:rsid w:val="00AA6013"/>
    <w:rsid w:val="00B03BDD"/>
    <w:rsid w:val="00B36E68"/>
    <w:rsid w:val="00B409C3"/>
    <w:rsid w:val="00B5787D"/>
    <w:rsid w:val="00BC3863"/>
    <w:rsid w:val="00C006C8"/>
    <w:rsid w:val="00C25C2B"/>
    <w:rsid w:val="00C452CA"/>
    <w:rsid w:val="00C56E44"/>
    <w:rsid w:val="00C70473"/>
    <w:rsid w:val="00CD2925"/>
    <w:rsid w:val="00CD3591"/>
    <w:rsid w:val="00CE0901"/>
    <w:rsid w:val="00D0710F"/>
    <w:rsid w:val="00D50530"/>
    <w:rsid w:val="00D51BBA"/>
    <w:rsid w:val="00D540F3"/>
    <w:rsid w:val="00D7185A"/>
    <w:rsid w:val="00DE3403"/>
    <w:rsid w:val="00E36A0F"/>
    <w:rsid w:val="00E53BFA"/>
    <w:rsid w:val="00EA3773"/>
    <w:rsid w:val="00ED3BF6"/>
    <w:rsid w:val="00EF69E5"/>
    <w:rsid w:val="00F90E73"/>
    <w:rsid w:val="00F96CFF"/>
    <w:rsid w:val="00FE259A"/>
    <w:rsid w:val="00FF63C3"/>
    <w:rsid w:val="01D43324"/>
    <w:rsid w:val="17E106B9"/>
    <w:rsid w:val="1D4A47D4"/>
    <w:rsid w:val="216F79C9"/>
    <w:rsid w:val="217541A1"/>
    <w:rsid w:val="22890D15"/>
    <w:rsid w:val="28174D37"/>
    <w:rsid w:val="2AA61387"/>
    <w:rsid w:val="2FBF745B"/>
    <w:rsid w:val="38BA55EF"/>
    <w:rsid w:val="557434C0"/>
    <w:rsid w:val="5BF52EA3"/>
    <w:rsid w:val="5DD30E71"/>
    <w:rsid w:val="6882175D"/>
    <w:rsid w:val="6D9E3BE0"/>
    <w:rsid w:val="703E69A5"/>
    <w:rsid w:val="72084E9A"/>
    <w:rsid w:val="753A6743"/>
    <w:rsid w:val="7D2C2A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5">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footer"/>
    <w:basedOn w:val="1"/>
    <w:link w:val="9"/>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autoRedefine/>
    <w:qFormat/>
    <w:uiPriority w:val="0"/>
  </w:style>
  <w:style w:type="character" w:styleId="8">
    <w:name w:val="Hyperlink"/>
    <w:autoRedefine/>
    <w:qFormat/>
    <w:uiPriority w:val="99"/>
    <w:rPr>
      <w:color w:val="0000FF"/>
      <w:u w:val="single"/>
    </w:rPr>
  </w:style>
  <w:style w:type="character" w:customStyle="1" w:styleId="9">
    <w:name w:val="页脚 字符"/>
    <w:link w:val="3"/>
    <w:uiPriority w:val="0"/>
    <w:rPr>
      <w:kern w:val="2"/>
      <w:sz w:val="18"/>
    </w:rPr>
  </w:style>
  <w:style w:type="paragraph" w:styleId="10">
    <w:name w:val="List Paragraph"/>
    <w:basedOn w:val="1"/>
    <w:autoRedefine/>
    <w:qFormat/>
    <w:uiPriority w:val="34"/>
    <w:pPr>
      <w:ind w:firstLine="420" w:firstLineChars="200"/>
    </w:pPr>
    <w:rPr>
      <w:szCs w:val="24"/>
    </w:rPr>
  </w:style>
  <w:style w:type="paragraph" w:customStyle="1" w:styleId="11">
    <w:name w:val="Body Text First Indent 21"/>
    <w:basedOn w:val="1"/>
    <w:uiPriority w:val="0"/>
    <w:pPr>
      <w:keepNext w:val="0"/>
      <w:keepLines w:val="0"/>
      <w:widowControl w:val="0"/>
      <w:suppressLineNumbers w:val="0"/>
      <w:spacing w:before="0" w:beforeAutospacing="0" w:after="0" w:afterAutospacing="0"/>
      <w:ind w:left="420" w:leftChars="200" w:right="0" w:firstLine="420" w:firstLineChars="200"/>
      <w:jc w:val="both"/>
    </w:pPr>
    <w:rPr>
      <w:rFonts w:hint="default" w:ascii="Calibri" w:hAnsi="Calibri" w:eastAsia="宋体" w:cs="Times New Roman"/>
      <w:kern w:val="2"/>
      <w:sz w:val="21"/>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20844;&#2599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Template>
  <Pages>6</Pages>
  <Words>1476</Words>
  <Characters>8419</Characters>
  <Lines>70</Lines>
  <Paragraphs>19</Paragraphs>
  <TotalTime>14</TotalTime>
  <ScaleCrop>false</ScaleCrop>
  <LinksUpToDate>false</LinksUpToDate>
  <CharactersWithSpaces>9876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2023-04-25T07:57:00Z</dcterms:created>
  <dc:creator>颜悦之</dc:creator>
  <cp:lastModifiedBy>Administrator</cp:lastModifiedBy>
  <cp:lastPrinted>2020-09-29T00:19:00Z</cp:lastPrinted>
  <dcterms:modified xsi:type="dcterms:W3CDTF">2024-05-10T01:35:02Z</dcterms:modified>
  <dc:title>沪教委〔2001〕号                   签发人：</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1A90418936954672B0074B95AC9906A9_13</vt:lpwstr>
  </property>
</Properties>
</file>