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B" w:rsidRPr="00620FFE" w:rsidRDefault="00620FFE" w:rsidP="00A25DAA">
      <w:pPr>
        <w:widowControl/>
        <w:shd w:val="clear" w:color="auto" w:fill="FFFFFF"/>
        <w:spacing w:beforeLines="50"/>
        <w:jc w:val="center"/>
        <w:rPr>
          <w:rFonts w:ascii="楷体_GB2312" w:eastAsia="楷体_GB2312" w:hAnsiTheme="majorEastAsia"/>
          <w:b/>
          <w:bCs/>
          <w:color w:val="000000"/>
          <w:sz w:val="28"/>
          <w:szCs w:val="28"/>
          <w:shd w:val="clear" w:color="auto" w:fill="FFFFFF"/>
        </w:rPr>
      </w:pPr>
      <w:r w:rsidRPr="00620FFE">
        <w:rPr>
          <w:rFonts w:ascii="楷体_GB2312" w:eastAsia="楷体_GB2312" w:hAnsiTheme="majorEastAsia" w:hint="eastAsia"/>
          <w:b/>
          <w:bCs/>
          <w:color w:val="000000"/>
          <w:sz w:val="28"/>
          <w:szCs w:val="28"/>
          <w:shd w:val="clear" w:color="auto" w:fill="FFFFFF"/>
        </w:rPr>
        <w:t>2016</w:t>
      </w:r>
      <w:r>
        <w:rPr>
          <w:rFonts w:ascii="楷体_GB2312" w:eastAsia="楷体_GB2312" w:hAnsiTheme="majorEastAsia" w:hint="eastAsia"/>
          <w:b/>
          <w:bCs/>
          <w:color w:val="000000"/>
          <w:sz w:val="28"/>
          <w:szCs w:val="28"/>
          <w:shd w:val="clear" w:color="auto" w:fill="FFFFFF"/>
        </w:rPr>
        <w:t>年度</w:t>
      </w:r>
      <w:r w:rsidR="00322AEB" w:rsidRPr="00620FFE">
        <w:rPr>
          <w:rFonts w:ascii="楷体_GB2312" w:eastAsia="楷体_GB2312" w:hAnsiTheme="majorEastAsia" w:hint="eastAsia"/>
          <w:b/>
          <w:bCs/>
          <w:color w:val="000000"/>
          <w:sz w:val="28"/>
          <w:szCs w:val="28"/>
          <w:shd w:val="clear" w:color="auto" w:fill="FFFFFF"/>
        </w:rPr>
        <w:t>外国语学院英语第二学位招生</w:t>
      </w:r>
      <w:r w:rsidR="00227A34">
        <w:rPr>
          <w:rFonts w:ascii="楷体_GB2312" w:eastAsia="楷体_GB2312" w:hAnsiTheme="majorEastAsia" w:hint="eastAsia"/>
          <w:b/>
          <w:bCs/>
          <w:color w:val="000000"/>
          <w:sz w:val="28"/>
          <w:szCs w:val="28"/>
          <w:shd w:val="clear" w:color="auto" w:fill="FFFFFF"/>
        </w:rPr>
        <w:t>宣传</w:t>
      </w:r>
    </w:p>
    <w:p w:rsidR="00385DBA" w:rsidRPr="00C629C9" w:rsidRDefault="00322AEB" w:rsidP="00A25DAA">
      <w:pPr>
        <w:widowControl/>
        <w:shd w:val="clear" w:color="auto" w:fill="FFFFFF"/>
        <w:spacing w:beforeLines="50"/>
        <w:jc w:val="center"/>
        <w:rPr>
          <w:rFonts w:asciiTheme="majorEastAsia" w:eastAsiaTheme="majorEastAsia" w:hAnsi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C9" w:rsidRDefault="00385DBA" w:rsidP="00A25DAA">
      <w:pPr>
        <w:widowControl/>
        <w:shd w:val="clear" w:color="auto" w:fill="FFFFFF"/>
        <w:spacing w:beforeLines="50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85D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外院的办学优势和特色，切实实现学科间的交叉渗透，拓宽学生知识结构，</w:t>
      </w:r>
      <w:r w:rsidR="00322AEB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今</w:t>
      </w:r>
      <w:r w:rsidR="00C629C9" w:rsidRP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年</w:t>
      </w:r>
      <w:r w:rsidRPr="00385D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我院</w:t>
      </w:r>
      <w:r w:rsidR="00C629C9" w:rsidRP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将继续</w:t>
      </w:r>
      <w:r w:rsidRPr="00385D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面向非英语专业的学生开设第二学位课程，加强复合型人才的培养。</w:t>
      </w:r>
    </w:p>
    <w:p w:rsidR="00322AEB" w:rsidRPr="00C629C9" w:rsidRDefault="00385DBA" w:rsidP="00A25DAA">
      <w:pPr>
        <w:widowControl/>
        <w:shd w:val="clear" w:color="auto" w:fill="FFFFFF"/>
        <w:spacing w:beforeLines="50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凡参加我院双学位学习的同学</w:t>
      </w:r>
      <w:r w:rsidR="00322AEB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均</w:t>
      </w:r>
      <w:r w:rsidRP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有机会参加全国英语专业四级和专业八级考试。</w:t>
      </w:r>
      <w:r w:rsidR="00C629C9" w:rsidRP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英语专业“双学位”定能使你的大学生活更加充实和丰富多彩，无论是读研就业，出国留学都能让你学有所得，如虎添翼，给你的人生带来更多的机会来发展自我。欢迎你们</w:t>
      </w:r>
      <w:r w:rsid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报名</w:t>
      </w:r>
      <w:r w:rsidR="00C629C9" w:rsidRPr="00C629C9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！</w:t>
      </w:r>
    </w:p>
    <w:p w:rsidR="00385DBA" w:rsidRPr="00612603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b/>
          <w:color w:val="000000"/>
          <w:sz w:val="24"/>
          <w:szCs w:val="24"/>
        </w:rPr>
      </w:pPr>
      <w:r w:rsidRPr="00612603">
        <w:rPr>
          <w:rFonts w:ascii="仿宋_GB2312" w:eastAsia="仿宋_GB2312" w:hint="eastAsia"/>
          <w:b/>
          <w:color w:val="000000"/>
          <w:sz w:val="24"/>
          <w:szCs w:val="24"/>
        </w:rPr>
        <w:t>一、</w:t>
      </w:r>
      <w:r w:rsidR="00A624A5" w:rsidRPr="00612603">
        <w:rPr>
          <w:rFonts w:ascii="仿宋_GB2312" w:eastAsia="仿宋_GB2312" w:hint="eastAsia"/>
          <w:b/>
          <w:bCs/>
          <w:sz w:val="24"/>
          <w:szCs w:val="24"/>
        </w:rPr>
        <w:t>专业简介</w:t>
      </w:r>
    </w:p>
    <w:p w:rsidR="00385DBA" w:rsidRPr="00322AEB" w:rsidRDefault="00C629C9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322AEB">
        <w:rPr>
          <w:rFonts w:ascii="仿宋_GB2312" w:eastAsia="仿宋_GB2312" w:hint="eastAsia"/>
          <w:color w:val="000000"/>
          <w:sz w:val="24"/>
          <w:szCs w:val="24"/>
        </w:rPr>
        <w:t>培养目标：</w:t>
      </w:r>
      <w:r w:rsidR="00385DBA" w:rsidRPr="00322AEB">
        <w:rPr>
          <w:rFonts w:ascii="仿宋_GB2312" w:eastAsia="仿宋_GB2312" w:hint="eastAsia"/>
          <w:color w:val="000000"/>
          <w:sz w:val="24"/>
          <w:szCs w:val="24"/>
        </w:rPr>
        <w:t>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 w:rsidR="00A624A5" w:rsidRPr="00322AEB" w:rsidRDefault="00C629C9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322AEB">
        <w:rPr>
          <w:rFonts w:ascii="仿宋_GB2312" w:eastAsia="仿宋_GB2312" w:hint="eastAsia"/>
          <w:color w:val="000000"/>
          <w:sz w:val="24"/>
          <w:szCs w:val="24"/>
        </w:rPr>
        <w:lastRenderedPageBreak/>
        <w:t>培养方式：1、学制：</w:t>
      </w:r>
      <w:r w:rsidR="00A624A5" w:rsidRPr="00322AEB">
        <w:rPr>
          <w:rFonts w:ascii="仿宋_GB2312" w:eastAsia="仿宋_GB2312"/>
          <w:color w:val="000000"/>
          <w:sz w:val="24"/>
          <w:szCs w:val="24"/>
        </w:rPr>
        <w:t>3</w:t>
      </w:r>
      <w:r w:rsidRPr="00322AEB">
        <w:rPr>
          <w:rFonts w:ascii="仿宋_GB2312" w:eastAsia="仿宋_GB2312" w:hint="eastAsia"/>
          <w:color w:val="000000"/>
          <w:sz w:val="24"/>
          <w:szCs w:val="24"/>
        </w:rPr>
        <w:t>年；2、授课方式：面授教学；3、授课时间：周末及暑假；4、授课地点：</w:t>
      </w:r>
      <w:r w:rsidR="00A624A5" w:rsidRPr="00322AEB">
        <w:rPr>
          <w:rFonts w:ascii="仿宋_GB2312" w:eastAsia="仿宋_GB2312" w:hint="eastAsia"/>
          <w:color w:val="000000"/>
          <w:sz w:val="24"/>
          <w:szCs w:val="24"/>
        </w:rPr>
        <w:t>教学楼</w:t>
      </w:r>
      <w:r w:rsidRPr="00322AEB">
        <w:rPr>
          <w:rFonts w:ascii="仿宋_GB2312" w:eastAsia="仿宋_GB2312" w:hint="eastAsia"/>
          <w:color w:val="000000"/>
          <w:sz w:val="24"/>
          <w:szCs w:val="24"/>
        </w:rPr>
        <w:t>；5、考试：我院自主命题和考试。</w:t>
      </w:r>
    </w:p>
    <w:p w:rsidR="00A624A5" w:rsidRPr="00322AEB" w:rsidRDefault="00A624A5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322AEB">
        <w:rPr>
          <w:rFonts w:ascii="仿宋_GB2312" w:eastAsia="仿宋_GB2312" w:hint="eastAsia"/>
          <w:color w:val="000000"/>
          <w:sz w:val="24"/>
          <w:szCs w:val="24"/>
        </w:rPr>
        <w:t>专业课程：基础英语、英语阅读、英语口语、英语听力、英语国家概况、基础英语写作、学术英语写作、高级英语、英语视听说、笔译实践、英美文学史、口译实践</w:t>
      </w:r>
      <w:r w:rsidR="007F02B4" w:rsidRPr="00322AEB">
        <w:rPr>
          <w:rFonts w:ascii="仿宋_GB2312" w:eastAsia="仿宋_GB2312" w:hint="eastAsia"/>
          <w:color w:val="000000"/>
          <w:sz w:val="24"/>
          <w:szCs w:val="24"/>
        </w:rPr>
        <w:t>、语言学概论、国际航运英语、商务英语、跨文化交际</w:t>
      </w:r>
      <w:r w:rsidR="00612603" w:rsidRPr="00322AEB">
        <w:rPr>
          <w:rFonts w:ascii="仿宋_GB2312" w:eastAsia="仿宋_GB2312" w:hint="eastAsia"/>
          <w:color w:val="000000"/>
          <w:sz w:val="24"/>
          <w:szCs w:val="24"/>
        </w:rPr>
        <w:t>等课程。</w:t>
      </w:r>
    </w:p>
    <w:p w:rsidR="00C629C9" w:rsidRPr="00322AEB" w:rsidRDefault="00C629C9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22AE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毕业学分：55学分</w:t>
      </w:r>
      <w:r w:rsidR="00620FF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C629C9" w:rsidRPr="00322AEB" w:rsidRDefault="00C629C9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22AE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授予学位：文学学士</w:t>
      </w:r>
      <w:r w:rsidR="00620FF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b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b/>
          <w:color w:val="000000"/>
          <w:sz w:val="24"/>
          <w:szCs w:val="24"/>
        </w:rPr>
        <w:t>二、培养要求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</w:rPr>
        <w:t>毕业生具有以下几方面的知识和能力：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</w:rPr>
        <w:t>1．具备扎实的英语听、说、读、写、译能力；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</w:rPr>
        <w:t>2．掌握英语语言学与文学的基础理论和知识；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</w:rPr>
        <w:t>3．能够承担一般工作（尤其是航运、海事）在学术交流、业务谈判、情报收集等方面的口、笔译任务；</w:t>
      </w:r>
    </w:p>
    <w:p w:rsidR="00385DBA" w:rsidRPr="00C629C9" w:rsidRDefault="00385DBA" w:rsidP="00A25DAA">
      <w:pPr>
        <w:spacing w:beforeLines="50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C629C9">
        <w:rPr>
          <w:rFonts w:ascii="仿宋_GB2312" w:eastAsia="仿宋_GB2312" w:hint="eastAsia"/>
          <w:color w:val="000000"/>
          <w:sz w:val="24"/>
          <w:szCs w:val="24"/>
        </w:rPr>
        <w:t>4. 掌握文献检索、资料查询的基本方法，具有初步的科学研究和实际工作能力。</w:t>
      </w:r>
    </w:p>
    <w:p w:rsidR="00612603" w:rsidRPr="007F02B4" w:rsidRDefault="007F02B4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7F02B4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lastRenderedPageBreak/>
        <w:t>三</w:t>
      </w:r>
      <w:r w:rsidRPr="007F02B4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招生录取</w:t>
      </w:r>
    </w:p>
    <w:p w:rsidR="00A25DAA" w:rsidRPr="00C80039" w:rsidRDefault="00A25DAA" w:rsidP="00A25DAA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5级全日制本科生中招生。凡第一学期课程成绩平均绩点达到</w:t>
      </w:r>
      <w:r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.30及以上，能认真遵守《学生手册》中的各项规章制度，无考试违纪作弊记录者，均可报名。基本学制三年。</w:t>
      </w:r>
    </w:p>
    <w:p w:rsidR="00A25DAA" w:rsidRPr="00FF1734" w:rsidRDefault="00A25DAA" w:rsidP="00A25DAA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110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A25DAA" w:rsidRPr="00972CF9" w:rsidRDefault="00A25DAA" w:rsidP="00A25DAA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A25DAA" w:rsidRPr="00972CF9" w:rsidRDefault="00A25DAA" w:rsidP="00A25DAA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学校根据第二专业（学位）招生规模，按照成绩绩点（所有课程成绩都计算在内）排名择优录取，绩点相同条件下优先录取跨学科的申请学生。</w:t>
      </w:r>
    </w:p>
    <w:p w:rsidR="00385DBA" w:rsidRPr="00C629C9" w:rsidRDefault="00CF76A6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="00385DBA" w:rsidRPr="00C629C9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学习费用</w:t>
      </w:r>
    </w:p>
    <w:p w:rsidR="00385DBA" w:rsidRPr="00C629C9" w:rsidRDefault="00385DBA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629C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100元/学分</w:t>
      </w:r>
      <w:r w:rsidR="00CF76A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CF76A6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按学期缴纳。</w:t>
      </w:r>
    </w:p>
    <w:p w:rsidR="00385DBA" w:rsidRPr="00C629C9" w:rsidRDefault="00CF76A6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="00385DBA" w:rsidRPr="00C629C9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联系方式</w:t>
      </w:r>
    </w:p>
    <w:p w:rsidR="00CF76A6" w:rsidRDefault="00385DBA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629C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专业</w:t>
      </w:r>
      <w:r w:rsidR="00CF76A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主任：</w:t>
      </w:r>
      <w:r w:rsidRPr="00C629C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耿强</w:t>
      </w:r>
      <w:r w:rsidR="00CF76A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老师（办公</w:t>
      </w:r>
      <w:r w:rsidR="00CF76A6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电话：</w:t>
      </w:r>
      <w:r w:rsidR="00CF76A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38282716</w:t>
      </w:r>
      <w:r w:rsidR="00CF76A6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）</w:t>
      </w:r>
    </w:p>
    <w:p w:rsidR="00385DBA" w:rsidRDefault="00385DBA" w:rsidP="00A25DAA">
      <w:pPr>
        <w:widowControl/>
        <w:spacing w:beforeLines="50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629C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教学秘书</w:t>
      </w:r>
      <w:r w:rsidR="00CF76A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：赵泉老师（办公</w:t>
      </w:r>
      <w:r w:rsidR="00CF76A6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电话：</w:t>
      </w:r>
      <w:r w:rsidR="00CF76A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382827</w:t>
      </w:r>
      <w:r w:rsidR="00CF76A6">
        <w:rPr>
          <w:rFonts w:ascii="仿宋_GB2312" w:eastAsia="仿宋_GB2312" w:hAnsi="宋体" w:cs="宋体"/>
          <w:color w:val="000000"/>
          <w:kern w:val="0"/>
          <w:sz w:val="24"/>
          <w:szCs w:val="24"/>
        </w:rPr>
        <w:t>77）</w:t>
      </w:r>
    </w:p>
    <w:p w:rsidR="00322AEB" w:rsidRDefault="00322AEB" w:rsidP="00A25DAA">
      <w:pPr>
        <w:widowControl/>
        <w:spacing w:beforeLines="50"/>
        <w:ind w:firstLineChars="200" w:firstLine="480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外国语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学院</w:t>
      </w:r>
    </w:p>
    <w:p w:rsidR="00322AEB" w:rsidRDefault="00322AEB" w:rsidP="00A25DAA">
      <w:pPr>
        <w:widowControl/>
        <w:spacing w:beforeLines="50"/>
        <w:ind w:firstLineChars="200" w:firstLine="480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2016年</w:t>
      </w:r>
      <w:r w:rsidR="00161BC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月</w:t>
      </w:r>
    </w:p>
    <w:p w:rsidR="00322AEB" w:rsidRPr="00C629C9" w:rsidRDefault="00322AEB" w:rsidP="00A76707">
      <w:pPr>
        <w:widowControl/>
        <w:spacing w:beforeLines="50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267325" cy="2667000"/>
            <wp:effectExtent l="0" t="0" r="9525" b="0"/>
            <wp:docPr id="2" name="图片 2" descr="C:\Users\pc\Desktop\20160304171924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160304171924_9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AEB" w:rsidRPr="00C629C9" w:rsidSect="00F4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CD" w:rsidRDefault="009F0FCD" w:rsidP="00C3651A">
      <w:r>
        <w:separator/>
      </w:r>
    </w:p>
  </w:endnote>
  <w:endnote w:type="continuationSeparator" w:id="1">
    <w:p w:rsidR="009F0FCD" w:rsidRDefault="009F0FCD" w:rsidP="00C3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CD" w:rsidRDefault="009F0FCD" w:rsidP="00C3651A">
      <w:r>
        <w:separator/>
      </w:r>
    </w:p>
  </w:footnote>
  <w:footnote w:type="continuationSeparator" w:id="1">
    <w:p w:rsidR="009F0FCD" w:rsidRDefault="009F0FCD" w:rsidP="00C3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E75"/>
    <w:multiLevelType w:val="singleLevel"/>
    <w:tmpl w:val="55557E7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BA"/>
    <w:rsid w:val="000D51FB"/>
    <w:rsid w:val="00161BC1"/>
    <w:rsid w:val="00227A34"/>
    <w:rsid w:val="00322AEB"/>
    <w:rsid w:val="00385DBA"/>
    <w:rsid w:val="00612603"/>
    <w:rsid w:val="00620FFE"/>
    <w:rsid w:val="00692F44"/>
    <w:rsid w:val="006F1281"/>
    <w:rsid w:val="007F02B4"/>
    <w:rsid w:val="009C4369"/>
    <w:rsid w:val="009F0FCD"/>
    <w:rsid w:val="00A25DAA"/>
    <w:rsid w:val="00A624A5"/>
    <w:rsid w:val="00A74840"/>
    <w:rsid w:val="00A76707"/>
    <w:rsid w:val="00BC79FF"/>
    <w:rsid w:val="00C3651A"/>
    <w:rsid w:val="00C629C9"/>
    <w:rsid w:val="00CF76A6"/>
    <w:rsid w:val="00F4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85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385DBA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4A5"/>
    <w:rPr>
      <w:b/>
      <w:bCs/>
    </w:rPr>
  </w:style>
  <w:style w:type="paragraph" w:styleId="a5">
    <w:name w:val="Normal (Web)"/>
    <w:basedOn w:val="a"/>
    <w:uiPriority w:val="99"/>
    <w:semiHidden/>
    <w:unhideWhenUsed/>
    <w:rsid w:val="007F0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2B4"/>
  </w:style>
  <w:style w:type="paragraph" w:styleId="a6">
    <w:name w:val="Date"/>
    <w:basedOn w:val="a"/>
    <w:next w:val="a"/>
    <w:link w:val="Char0"/>
    <w:uiPriority w:val="99"/>
    <w:semiHidden/>
    <w:unhideWhenUsed/>
    <w:rsid w:val="00322AE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2AEB"/>
  </w:style>
  <w:style w:type="paragraph" w:styleId="a7">
    <w:name w:val="header"/>
    <w:basedOn w:val="a"/>
    <w:link w:val="Char1"/>
    <w:uiPriority w:val="99"/>
    <w:unhideWhenUsed/>
    <w:rsid w:val="00C3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3651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3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3651A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C365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3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cp:lastPrinted>2016-03-14T00:17:00Z</cp:lastPrinted>
  <dcterms:created xsi:type="dcterms:W3CDTF">2016-03-11T13:04:00Z</dcterms:created>
  <dcterms:modified xsi:type="dcterms:W3CDTF">2016-05-09T05:52:00Z</dcterms:modified>
</cp:coreProperties>
</file>