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B5" w:rsidRPr="006F66B5" w:rsidRDefault="006F66B5" w:rsidP="006F66B5">
      <w:pPr>
        <w:pStyle w:val="4"/>
        <w:adjustRightInd w:val="0"/>
        <w:snapToGrid w:val="0"/>
        <w:ind w:left="0"/>
        <w:jc w:val="center"/>
        <w:rPr>
          <w:b w:val="0"/>
          <w:bCs w:val="0"/>
          <w:snapToGrid w:val="0"/>
          <w:sz w:val="32"/>
          <w:szCs w:val="32"/>
          <w:lang w:eastAsia="zh-CN"/>
        </w:rPr>
      </w:pPr>
      <w:r w:rsidRPr="006F66B5">
        <w:rPr>
          <w:snapToGrid w:val="0"/>
          <w:spacing w:val="2"/>
          <w:sz w:val="32"/>
          <w:szCs w:val="32"/>
          <w:lang w:eastAsia="zh-CN"/>
        </w:rPr>
        <w:t>第一届大赛的金奖名单</w:t>
      </w:r>
    </w:p>
    <w:p w:rsidR="00225BF4" w:rsidRDefault="00225BF4">
      <w:pPr>
        <w:rPr>
          <w:lang w:eastAsia="zh-C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5"/>
        <w:gridCol w:w="1119"/>
        <w:gridCol w:w="2524"/>
      </w:tblGrid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Unicorn无人直升机系统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北京航空航天大学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智能视力辅具及智能可穿戴近视防控设备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浙江省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浙江大学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广州优蜜移动科技股份有限公司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广东省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华南理工大学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Visbody</w:t>
            </w:r>
            <w:proofErr w:type="spellEnd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人体三维扫描仪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陕西省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西安电子科技大学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基于计算机视觉技术的监控摄像头互联网+项目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北京大学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豪斯VR虚拟现实家装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清华大学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掘金三板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对外经济贸易大学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森之高科无线运动捕捉传感系统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辽宁省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东北大学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互联网+汽车后市场——车内行实业股份有限公司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吉林省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吉林大学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spacing w:val="-1"/>
                <w:w w:val="102"/>
                <w:sz w:val="18"/>
                <w:szCs w:val="18"/>
              </w:rPr>
              <w:t>点触云安全系统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spacing w:val="-1"/>
                <w:w w:val="102"/>
                <w:sz w:val="18"/>
                <w:szCs w:val="18"/>
              </w:rPr>
              <w:t>黑龙江省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spacing w:val="-1"/>
                <w:w w:val="102"/>
                <w:sz w:val="18"/>
                <w:szCs w:val="18"/>
              </w:rPr>
              <w:t>哈尔滨工程大学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海风教育在线一对一学习平台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上海市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复旦大学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proofErr w:type="gram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运策网</w:t>
            </w:r>
            <w:proofErr w:type="gramEnd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-整车货运O2O平台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江苏省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南京大学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微果驿站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江苏省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南京信息工程大学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米趣科技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浙江省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浙江大学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宁波星宏智能技术有限公司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浙江省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宁波大学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“车停哪儿”智慧停车项目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安徽省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中国科学技术大学</w:t>
            </w:r>
            <w:proofErr w:type="spellEnd"/>
          </w:p>
        </w:tc>
      </w:tr>
      <w:tr w:rsidR="006F66B5" w:rsidRPr="00321E77" w:rsidTr="006F66B5"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“护理专家”------远程监控服务机器人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江西省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南昌大学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ind w:left="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指尖上的陶艺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江西省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景德镇陶瓷学院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proofErr w:type="gram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幕影春秋</w:t>
            </w:r>
            <w:proofErr w:type="gramEnd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泰山皮影传播与推广系统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山东省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山东师范大学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农二代O2O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河南省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河南大学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电动汽车智能充电网络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湖北省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武汉大学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卫星大数据农业遥感分析平台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湖北省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武汉大学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ind w:left="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星云引擎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湖北省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武汉大学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0"/>
              <w:ind w:left="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嘿设汇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0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湖北省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0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中国地质大学</w:t>
            </w:r>
            <w:proofErr w:type="spellEnd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(</w:t>
            </w: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武汉</w:t>
            </w:r>
            <w:proofErr w:type="spellEnd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)</w:t>
            </w:r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I尚漫－中国原创</w:t>
            </w:r>
            <w:proofErr w:type="gram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动漫全</w:t>
            </w:r>
            <w:proofErr w:type="gramEnd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媒体出版平台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湖北省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湖北大学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电力互联网故障自愈控制系统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湖南省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长沙理工大学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ind w:left="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spacing w:val="-1"/>
                <w:w w:val="102"/>
                <w:sz w:val="18"/>
                <w:szCs w:val="18"/>
              </w:rPr>
              <w:t>切糕王子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spacing w:val="-1"/>
                <w:w w:val="102"/>
                <w:sz w:val="18"/>
                <w:szCs w:val="18"/>
              </w:rPr>
              <w:t>湖南省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spacing w:val="-1"/>
                <w:w w:val="102"/>
                <w:sz w:val="18"/>
                <w:szCs w:val="18"/>
              </w:rPr>
              <w:t>长沙理工大学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proofErr w:type="gram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佳学</w:t>
            </w:r>
            <w:proofErr w:type="gramEnd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-中国最好的生活技能在线教育平台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广东省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中山大学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中大普仁移动互联网公司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广东省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中山大学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“乐乐医”患者诊后随访及慢病管理平台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四川省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四川大学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实</w:t>
            </w:r>
            <w:proofErr w:type="gram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唯科技</w:t>
            </w:r>
            <w:proofErr w:type="spellStart"/>
            <w:proofErr w:type="gramEnd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Swaylink</w:t>
            </w:r>
            <w:proofErr w:type="spellEnd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物联网平台项目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四川省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四川大学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/>
                <w:w w:val="102"/>
                <w:sz w:val="18"/>
                <w:szCs w:val="18"/>
              </w:rPr>
              <w:t>WatchMe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云南省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昆明理工大学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  <w:lang w:eastAsia="zh-CN"/>
              </w:rPr>
              <w:t>互联网+非物质文化遗产云南民族刺绣</w:t>
            </w:r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云南省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云南大学滇池学院</w:t>
            </w:r>
            <w:proofErr w:type="spellEnd"/>
          </w:p>
        </w:tc>
      </w:tr>
      <w:tr w:rsidR="006F66B5" w:rsidRPr="00321E77" w:rsidTr="006F66B5">
        <w:tblPrEx>
          <w:tblLook w:val="04A0" w:firstRow="1" w:lastRow="0" w:firstColumn="1" w:lastColumn="0" w:noHBand="0" w:noVBand="1"/>
        </w:tblPrEx>
        <w:tc>
          <w:tcPr>
            <w:tcW w:w="3112" w:type="pct"/>
          </w:tcPr>
          <w:p w:rsidR="006F66B5" w:rsidRPr="006F66B5" w:rsidRDefault="006F66B5" w:rsidP="006F66B5">
            <w:pPr>
              <w:spacing w:before="51"/>
              <w:ind w:left="2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慕声科技</w:t>
            </w:r>
            <w:proofErr w:type="spellEnd"/>
          </w:p>
        </w:tc>
        <w:tc>
          <w:tcPr>
            <w:tcW w:w="580" w:type="pct"/>
          </w:tcPr>
          <w:p w:rsidR="006F66B5" w:rsidRPr="006F66B5" w:rsidRDefault="006F66B5" w:rsidP="006F66B5">
            <w:pPr>
              <w:spacing w:before="51"/>
              <w:ind w:left="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陕西省</w:t>
            </w:r>
            <w:proofErr w:type="spellEnd"/>
          </w:p>
        </w:tc>
        <w:tc>
          <w:tcPr>
            <w:tcW w:w="1308" w:type="pct"/>
          </w:tcPr>
          <w:p w:rsidR="006F66B5" w:rsidRPr="006F66B5" w:rsidRDefault="006F66B5" w:rsidP="006F66B5">
            <w:pPr>
              <w:spacing w:before="51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F66B5">
              <w:rPr>
                <w:rFonts w:ascii="宋体" w:eastAsia="宋体" w:hAnsi="宋体" w:cs="宋体"/>
                <w:w w:val="102"/>
                <w:sz w:val="18"/>
                <w:szCs w:val="18"/>
              </w:rPr>
              <w:t>西安电子科技大学</w:t>
            </w:r>
            <w:proofErr w:type="spellEnd"/>
          </w:p>
        </w:tc>
      </w:tr>
    </w:tbl>
    <w:p w:rsidR="006C6756" w:rsidRPr="006C6756" w:rsidRDefault="006C6756" w:rsidP="006C6756">
      <w:pPr>
        <w:rPr>
          <w:rFonts w:asciiTheme="majorEastAsia" w:eastAsiaTheme="majorEastAsia" w:hAnsiTheme="majorEastAsia"/>
          <w:snapToGrid w:val="0"/>
          <w:spacing w:val="2"/>
          <w:sz w:val="32"/>
          <w:szCs w:val="32"/>
          <w:lang w:eastAsia="zh-CN"/>
        </w:rPr>
      </w:pPr>
      <w:r w:rsidRPr="006C6756">
        <w:rPr>
          <w:rFonts w:asciiTheme="majorEastAsia" w:eastAsiaTheme="majorEastAsia" w:hAnsiTheme="majorEastAsia"/>
          <w:snapToGrid w:val="0"/>
          <w:spacing w:val="2"/>
          <w:sz w:val="32"/>
          <w:szCs w:val="32"/>
          <w:lang w:eastAsia="zh-CN"/>
        </w:rPr>
        <w:br w:type="page"/>
      </w:r>
    </w:p>
    <w:p w:rsidR="006F66B5" w:rsidRPr="006C6756" w:rsidRDefault="006F66B5" w:rsidP="006C6756">
      <w:pPr>
        <w:jc w:val="center"/>
        <w:rPr>
          <w:rFonts w:asciiTheme="majorEastAsia" w:eastAsiaTheme="majorEastAsia" w:hAnsiTheme="majorEastAsia"/>
          <w:b/>
          <w:snapToGrid w:val="0"/>
          <w:spacing w:val="2"/>
          <w:sz w:val="32"/>
          <w:szCs w:val="32"/>
          <w:lang w:eastAsia="zh-CN"/>
        </w:rPr>
      </w:pPr>
      <w:r w:rsidRPr="006C6756">
        <w:rPr>
          <w:rFonts w:asciiTheme="majorEastAsia" w:eastAsiaTheme="majorEastAsia" w:hAnsiTheme="majorEastAsia"/>
          <w:b/>
          <w:snapToGrid w:val="0"/>
          <w:spacing w:val="2"/>
          <w:sz w:val="32"/>
          <w:szCs w:val="32"/>
          <w:lang w:eastAsia="zh-CN"/>
        </w:rPr>
        <w:lastRenderedPageBreak/>
        <w:t>第二届大赛的金奖名单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1470"/>
        <w:gridCol w:w="1935"/>
      </w:tblGrid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4"/>
              <w:ind w:left="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微小卫星</w:t>
            </w:r>
            <w:proofErr w:type="spellEnd"/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陕西省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西北工业大学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4"/>
              <w:ind w:left="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</w:rPr>
              <w:t>I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n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s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t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a36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0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全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景相机</w:t>
            </w:r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江苏省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南京大学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4"/>
              <w:ind w:left="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ofo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共享单车</w:t>
            </w:r>
            <w:proofErr w:type="spellEnd"/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4"/>
              <w:ind w:left="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越疆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DOBO</w:t>
            </w:r>
            <w:r w:rsidRPr="006C6756">
              <w:rPr>
                <w:rFonts w:ascii="宋体" w:eastAsia="宋体" w:hAnsi="宋体" w:cs="宋体"/>
                <w:spacing w:val="-1"/>
                <w:sz w:val="18"/>
                <w:szCs w:val="18"/>
              </w:rPr>
              <w:t>T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桌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面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机械臂</w:t>
            </w:r>
            <w:proofErr w:type="spellEnd"/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山东省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山东大学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4"/>
              <w:ind w:left="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彩虹蜗牛教育</w:t>
            </w:r>
            <w:proofErr w:type="spellEnd"/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中国人民大学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16" w:line="396" w:lineRule="exact"/>
              <w:ind w:left="24" w:right="1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L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i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n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k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Trave</w:t>
            </w:r>
            <w:r w:rsidRPr="006C6756">
              <w:rPr>
                <w:rFonts w:ascii="宋体" w:eastAsia="宋体" w:hAnsi="宋体" w:cs="宋体"/>
                <w:spacing w:val="-1"/>
                <w:sz w:val="18"/>
                <w:szCs w:val="18"/>
              </w:rPr>
              <w:t>l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-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基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于新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型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公交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电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子站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牌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的商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业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与大数据服务系统</w:t>
            </w:r>
            <w:proofErr w:type="spellEnd"/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14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14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清华大学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4"/>
              <w:ind w:left="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/>
                <w:sz w:val="18"/>
                <w:szCs w:val="18"/>
              </w:rPr>
              <w:t>C</w:t>
            </w:r>
            <w:r w:rsidRPr="006C6756">
              <w:rPr>
                <w:rFonts w:ascii="宋体"/>
                <w:spacing w:val="1"/>
                <w:sz w:val="18"/>
                <w:szCs w:val="18"/>
              </w:rPr>
              <w:t>e</w:t>
            </w:r>
            <w:r w:rsidRPr="006C6756">
              <w:rPr>
                <w:rFonts w:ascii="宋体"/>
                <w:sz w:val="18"/>
                <w:szCs w:val="18"/>
              </w:rPr>
              <w:t>l</w:t>
            </w:r>
            <w:r w:rsidRPr="006C6756">
              <w:rPr>
                <w:rFonts w:ascii="宋体"/>
                <w:spacing w:val="1"/>
                <w:sz w:val="18"/>
                <w:szCs w:val="18"/>
              </w:rPr>
              <w:t>l</w:t>
            </w:r>
            <w:r w:rsidRPr="006C6756">
              <w:rPr>
                <w:rFonts w:ascii="宋体"/>
                <w:sz w:val="18"/>
                <w:szCs w:val="18"/>
              </w:rPr>
              <w:t>Robot</w:t>
            </w:r>
            <w:proofErr w:type="spellEnd"/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北京航空航天大学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5"/>
              <w:ind w:left="24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航空航天与汽车智能装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备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制造</w:t>
            </w:r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北京航空航天大学</w:t>
            </w:r>
            <w:proofErr w:type="spellEnd"/>
          </w:p>
        </w:tc>
      </w:tr>
      <w:tr w:rsidR="00BB40B9" w:rsidTr="006C6756">
        <w:trPr>
          <w:trHeight w:val="369"/>
        </w:trPr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143"/>
              <w:ind w:left="24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proofErr w:type="spellStart"/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RoBit</w:t>
            </w:r>
            <w:r w:rsidRPr="006C6756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s</w:t>
            </w:r>
            <w:proofErr w:type="spellEnd"/>
            <w:proofErr w:type="gramStart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创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客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教育</w:t>
            </w:r>
            <w:proofErr w:type="gramEnd"/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教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学装备</w:t>
            </w:r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143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143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北京科技大学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5"/>
              <w:ind w:left="24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北京新片场传媒股份有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限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北京市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北京邮电大学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5"/>
              <w:ind w:left="24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本溪满族自治县三阳大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果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榛子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种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植专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业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合作社</w:t>
            </w:r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辽宁省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沈阳农业大学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5"/>
              <w:ind w:left="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6C6756">
              <w:rPr>
                <w:rFonts w:ascii="宋体"/>
                <w:spacing w:val="1"/>
                <w:sz w:val="18"/>
                <w:szCs w:val="18"/>
              </w:rPr>
              <w:t>CQASO</w:t>
            </w:r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上海市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同济大学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5"/>
              <w:ind w:left="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9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s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t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ore校园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综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合服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务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上海市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上海交通大学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5"/>
              <w:ind w:left="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海得逻捷</w:t>
            </w:r>
            <w:proofErr w:type="spellEnd"/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江苏省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东南大学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5"/>
              <w:ind w:left="24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兰亭数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字</w:t>
            </w:r>
            <w:r w:rsidRPr="006C6756"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——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国内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最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大</w:t>
            </w:r>
            <w:r w:rsidRPr="006C6756"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的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虚拟</w:t>
            </w:r>
            <w:r w:rsidRPr="006C6756"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现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实影</w:t>
            </w:r>
            <w:r w:rsidRPr="006C6756"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像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内容</w:t>
            </w:r>
            <w:r w:rsidRPr="006C6756"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公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司</w:t>
            </w:r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pacing w:val="-1"/>
                <w:sz w:val="18"/>
                <w:szCs w:val="18"/>
              </w:rPr>
              <w:t>江苏省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pacing w:val="-1"/>
                <w:sz w:val="18"/>
                <w:szCs w:val="18"/>
              </w:rPr>
              <w:t>江南大学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5"/>
              <w:ind w:left="24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基于脑电检测的可穿戴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设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备</w:t>
            </w:r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浙江省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浙江大学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5"/>
              <w:ind w:left="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空气洗手装置</w:t>
            </w:r>
            <w:proofErr w:type="spellEnd"/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浙江省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浙江大学</w:t>
            </w:r>
            <w:proofErr w:type="spellEnd"/>
          </w:p>
        </w:tc>
      </w:tr>
      <w:tr w:rsidR="00BB40B9" w:rsidTr="006C6756">
        <w:tc>
          <w:tcPr>
            <w:tcW w:w="3235" w:type="pct"/>
            <w:vAlign w:val="center"/>
          </w:tcPr>
          <w:p w:rsidR="00BB40B9" w:rsidRPr="006C6756" w:rsidRDefault="00BB40B9" w:rsidP="006C6756">
            <w:pPr>
              <w:spacing w:before="35"/>
              <w:ind w:left="24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基于区块链的供应</w:t>
            </w:r>
            <w:proofErr w:type="gramStart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链金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融</w:t>
            </w:r>
            <w:proofErr w:type="gramEnd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服务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平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762" w:type="pct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浙江省</w:t>
            </w:r>
            <w:proofErr w:type="spellEnd"/>
          </w:p>
        </w:tc>
        <w:tc>
          <w:tcPr>
            <w:tcW w:w="0" w:type="auto"/>
            <w:vAlign w:val="center"/>
          </w:tcPr>
          <w:p w:rsidR="00BB40B9" w:rsidRPr="006C6756" w:rsidRDefault="00BB40B9" w:rsidP="006C6756">
            <w:pPr>
              <w:spacing w:before="35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浙江大学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智能社交手套</w:t>
            </w:r>
            <w:proofErr w:type="spellEnd"/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福建省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福州大学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福州福大北斗通信科技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有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限公司</w:t>
            </w:r>
            <w:proofErr w:type="spellEnd"/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福建省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福州大学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3"/>
              <w:ind w:left="25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proofErr w:type="gramStart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雨点公益</w:t>
            </w:r>
            <w:proofErr w:type="gramEnd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社会服务中心</w:t>
            </w:r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3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山东省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3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山东师范大学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3"/>
              <w:ind w:left="25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互联网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+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水产品无水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保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活物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流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集成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技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术</w:t>
            </w:r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3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山东省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3"/>
              <w:ind w:left="26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山东商业职业技术学院</w:t>
            </w:r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3"/>
              <w:ind w:left="25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幻影重现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-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基于移动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终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端的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图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像增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强</w:t>
            </w:r>
            <w:proofErr w:type="gramStart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云服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务</w:t>
            </w:r>
            <w:proofErr w:type="gramEnd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平台</w:t>
            </w:r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3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湖北省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3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武汉大学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粉丝时代</w:t>
            </w:r>
            <w:proofErr w:type="spellEnd"/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湖北省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华中科技大学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慧淬：钢轨的延寿专家</w:t>
            </w:r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湖北省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华中科技大学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基于车联网的汽车驾驶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辅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助系统</w:t>
            </w:r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湖北省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华中科技大学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诸葛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湖北省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华中科技大学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6" w:line="396" w:lineRule="exact"/>
              <w:ind w:left="25" w:right="64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基于大数据平台化融合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架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构的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智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能化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运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营及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垂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直分销深度服务的应用解决方案</w:t>
            </w:r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46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广东省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6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中山大学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46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桂林芯承科技有限公司</w:t>
            </w:r>
            <w:proofErr w:type="spellEnd"/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line="362" w:lineRule="exact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广西壮族自治区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6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桂林电子科技大学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</w:rPr>
              <w:t>“</w:t>
            </w: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M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e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d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l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ink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e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r</w:t>
            </w:r>
            <w:r w:rsidRPr="006C6756">
              <w:rPr>
                <w:rFonts w:ascii="宋体" w:eastAsia="宋体" w:hAnsi="宋体" w:cs="宋体"/>
                <w:spacing w:val="-1"/>
                <w:sz w:val="18"/>
                <w:szCs w:val="18"/>
              </w:rPr>
              <w:t>”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医生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联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盟学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术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交流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平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台</w:t>
            </w:r>
            <w:proofErr w:type="spellEnd"/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四川省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四川大学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S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M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A</w:t>
            </w:r>
            <w:r w:rsidRPr="006C6756">
              <w:rPr>
                <w:rFonts w:ascii="宋体" w:eastAsia="宋体" w:hAnsi="宋体" w:cs="宋体"/>
                <w:spacing w:val="1"/>
                <w:sz w:val="18"/>
                <w:szCs w:val="18"/>
              </w:rPr>
              <w:t>R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T+ME</w:t>
            </w:r>
            <w:r w:rsidRPr="006C6756">
              <w:rPr>
                <w:rFonts w:ascii="宋体" w:eastAsia="宋体" w:hAnsi="宋体" w:cs="宋体"/>
                <w:spacing w:val="-1"/>
                <w:sz w:val="18"/>
                <w:szCs w:val="18"/>
              </w:rPr>
              <w:t>D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云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病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理共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</w:rPr>
              <w:t>享</w:t>
            </w:r>
            <w:r w:rsidRPr="006C6756">
              <w:rPr>
                <w:rFonts w:ascii="宋体" w:eastAsia="宋体" w:hAnsi="宋体" w:cs="宋体"/>
                <w:sz w:val="18"/>
                <w:szCs w:val="18"/>
              </w:rPr>
              <w:t>平台</w:t>
            </w:r>
            <w:proofErr w:type="spellEnd"/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四川省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四川大学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“鹰眼”高精度空间定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位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技术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芯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片计划</w:t>
            </w:r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四川省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电子科技大学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成都</w:t>
            </w:r>
            <w:proofErr w:type="gramStart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电科创品</w:t>
            </w:r>
            <w:proofErr w:type="gramEnd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机器人科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技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有限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公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司</w:t>
            </w:r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四川省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电子科技大学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三维光学变形应变测量</w:t>
            </w:r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陕西省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西安交通大学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before="14"/>
              <w:ind w:left="25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微孚智能</w:t>
            </w:r>
            <w:proofErr w:type="spellEnd"/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陕西省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西北工业大学</w:t>
            </w:r>
            <w:proofErr w:type="spellEnd"/>
          </w:p>
        </w:tc>
      </w:tr>
      <w:tr w:rsidR="006C6756" w:rsidTr="006C6756">
        <w:tblPrEx>
          <w:tblLook w:val="04A0" w:firstRow="1" w:lastRow="0" w:firstColumn="1" w:lastColumn="0" w:noHBand="0" w:noVBand="1"/>
        </w:tblPrEx>
        <w:tc>
          <w:tcPr>
            <w:tcW w:w="3235" w:type="pct"/>
            <w:vAlign w:val="center"/>
          </w:tcPr>
          <w:p w:rsidR="006C6756" w:rsidRPr="006C6756" w:rsidRDefault="006C6756" w:rsidP="006C6756">
            <w:pPr>
              <w:spacing w:line="362" w:lineRule="exact"/>
              <w:ind w:left="25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天眼卫士——基于</w:t>
            </w:r>
            <w:proofErr w:type="gramStart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云计算</w:t>
            </w:r>
            <w:proofErr w:type="gramEnd"/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的无人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机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远程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智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能监</w:t>
            </w:r>
            <w:r w:rsidRPr="006C6756"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控</w:t>
            </w:r>
            <w:r w:rsidRPr="006C675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系统</w:t>
            </w:r>
          </w:p>
        </w:tc>
        <w:tc>
          <w:tcPr>
            <w:tcW w:w="762" w:type="pct"/>
            <w:vAlign w:val="center"/>
          </w:tcPr>
          <w:p w:rsidR="006C6756" w:rsidRPr="006C6756" w:rsidRDefault="006C6756" w:rsidP="006C6756">
            <w:pPr>
              <w:spacing w:before="146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陕西省</w:t>
            </w:r>
            <w:proofErr w:type="spellEnd"/>
          </w:p>
        </w:tc>
        <w:tc>
          <w:tcPr>
            <w:tcW w:w="0" w:type="auto"/>
            <w:vAlign w:val="center"/>
          </w:tcPr>
          <w:p w:rsidR="006C6756" w:rsidRPr="006C6756" w:rsidRDefault="006C6756" w:rsidP="006C6756">
            <w:pPr>
              <w:spacing w:before="146"/>
              <w:ind w:left="2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6C6756">
              <w:rPr>
                <w:rFonts w:ascii="宋体" w:eastAsia="宋体" w:hAnsi="宋体" w:cs="宋体"/>
                <w:sz w:val="18"/>
                <w:szCs w:val="18"/>
              </w:rPr>
              <w:t>西安电子科技大学</w:t>
            </w:r>
            <w:proofErr w:type="spellEnd"/>
          </w:p>
        </w:tc>
      </w:tr>
    </w:tbl>
    <w:p w:rsidR="006F66B5" w:rsidRPr="006C6756" w:rsidRDefault="006F66B5">
      <w:pPr>
        <w:rPr>
          <w:lang w:eastAsia="zh-CN"/>
        </w:rPr>
      </w:pPr>
      <w:bookmarkStart w:id="0" w:name="_GoBack"/>
      <w:bookmarkEnd w:id="0"/>
    </w:p>
    <w:sectPr w:rsidR="006F66B5" w:rsidRPr="006C6756" w:rsidSect="006C675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B5"/>
    <w:rsid w:val="00225BF4"/>
    <w:rsid w:val="006C6756"/>
    <w:rsid w:val="006F66B5"/>
    <w:rsid w:val="008C3BAD"/>
    <w:rsid w:val="00BB40B9"/>
    <w:rsid w:val="00B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6B5"/>
    <w:pPr>
      <w:widowControl w:val="0"/>
    </w:pPr>
    <w:rPr>
      <w:kern w:val="0"/>
      <w:sz w:val="22"/>
      <w:lang w:eastAsia="en-US"/>
    </w:rPr>
  </w:style>
  <w:style w:type="paragraph" w:styleId="4">
    <w:name w:val="heading 4"/>
    <w:basedOn w:val="a"/>
    <w:link w:val="4Char"/>
    <w:uiPriority w:val="1"/>
    <w:qFormat/>
    <w:rsid w:val="006F66B5"/>
    <w:pPr>
      <w:ind w:left="8268"/>
      <w:outlineLvl w:val="3"/>
    </w:pPr>
    <w:rPr>
      <w:rFonts w:ascii="宋体" w:eastAsia="宋体" w:hAnsi="宋体"/>
      <w:b/>
      <w:bCs/>
      <w:sz w:val="125"/>
      <w:szCs w:val="1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6B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Char">
    <w:name w:val="标题 4 Char"/>
    <w:basedOn w:val="a0"/>
    <w:link w:val="4"/>
    <w:uiPriority w:val="1"/>
    <w:rsid w:val="006F66B5"/>
    <w:rPr>
      <w:rFonts w:ascii="宋体" w:eastAsia="宋体" w:hAnsi="宋体"/>
      <w:b/>
      <w:bCs/>
      <w:kern w:val="0"/>
      <w:sz w:val="125"/>
      <w:szCs w:val="1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6B5"/>
    <w:pPr>
      <w:widowControl w:val="0"/>
    </w:pPr>
    <w:rPr>
      <w:kern w:val="0"/>
      <w:sz w:val="22"/>
      <w:lang w:eastAsia="en-US"/>
    </w:rPr>
  </w:style>
  <w:style w:type="paragraph" w:styleId="4">
    <w:name w:val="heading 4"/>
    <w:basedOn w:val="a"/>
    <w:link w:val="4Char"/>
    <w:uiPriority w:val="1"/>
    <w:qFormat/>
    <w:rsid w:val="006F66B5"/>
    <w:pPr>
      <w:ind w:left="8268"/>
      <w:outlineLvl w:val="3"/>
    </w:pPr>
    <w:rPr>
      <w:rFonts w:ascii="宋体" w:eastAsia="宋体" w:hAnsi="宋体"/>
      <w:b/>
      <w:bCs/>
      <w:sz w:val="125"/>
      <w:szCs w:val="1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6B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Char">
    <w:name w:val="标题 4 Char"/>
    <w:basedOn w:val="a0"/>
    <w:link w:val="4"/>
    <w:uiPriority w:val="1"/>
    <w:rsid w:val="006F66B5"/>
    <w:rPr>
      <w:rFonts w:ascii="宋体" w:eastAsia="宋体" w:hAnsi="宋体"/>
      <w:b/>
      <w:bCs/>
      <w:kern w:val="0"/>
      <w:sz w:val="125"/>
      <w:szCs w:val="1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2017-05-04T02:19:00Z</dcterms:created>
  <dcterms:modified xsi:type="dcterms:W3CDTF">2017-05-05T00:37:00Z</dcterms:modified>
</cp:coreProperties>
</file>